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876" w:rsidRDefault="00425C7E" w:rsidP="00D21E3D">
      <w:pPr>
        <w:pStyle w:val="Noindent"/>
        <w:tabs>
          <w:tab w:val="clear" w:pos="426"/>
        </w:tabs>
      </w:pPr>
      <w:bookmarkStart w:id="0" w:name="_GoBack"/>
      <w:bookmarkEnd w:id="0"/>
      <w:r>
        <w:rPr>
          <w:noProof/>
        </w:rPr>
        <w:drawing>
          <wp:inline distT="0" distB="0" distL="0" distR="0">
            <wp:extent cx="3352800" cy="352425"/>
            <wp:effectExtent l="0" t="0" r="0" b="9525"/>
            <wp:docPr id="1"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352425"/>
                    </a:xfrm>
                    <a:prstGeom prst="rect">
                      <a:avLst/>
                    </a:prstGeom>
                    <a:noFill/>
                    <a:ln>
                      <a:noFill/>
                    </a:ln>
                  </pic:spPr>
                </pic:pic>
              </a:graphicData>
            </a:graphic>
          </wp:inline>
        </w:drawing>
      </w:r>
    </w:p>
    <w:p w:rsidR="00711876" w:rsidRDefault="00711876" w:rsidP="00D21E3D">
      <w:pPr>
        <w:pStyle w:val="Noindent"/>
        <w:tabs>
          <w:tab w:val="clear" w:pos="426"/>
        </w:tabs>
      </w:pPr>
    </w:p>
    <w:p w:rsidR="00711876" w:rsidRDefault="00711876" w:rsidP="00D21E3D">
      <w:pPr>
        <w:pStyle w:val="Noindent"/>
        <w:tabs>
          <w:tab w:val="clear" w:pos="426"/>
        </w:tabs>
      </w:pPr>
    </w:p>
    <w:p w:rsidR="00D21E3D" w:rsidRDefault="008046EC" w:rsidP="00D21E3D">
      <w:pPr>
        <w:pStyle w:val="Noindent"/>
        <w:tabs>
          <w:tab w:val="clear" w:pos="426"/>
        </w:tabs>
      </w:pPr>
      <w:r>
        <w:br/>
      </w:r>
    </w:p>
    <w:tbl>
      <w:tblPr>
        <w:tblW w:w="9498"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98"/>
      </w:tblGrid>
      <w:tr w:rsidR="00711876" w:rsidRPr="003447C2" w:rsidTr="00636D8B">
        <w:trPr>
          <w:cantSplit/>
          <w:trHeight w:val="983"/>
        </w:trPr>
        <w:tc>
          <w:tcPr>
            <w:tcW w:w="9498" w:type="dxa"/>
            <w:shd w:val="clear" w:color="auto" w:fill="auto"/>
          </w:tcPr>
          <w:p w:rsidR="00711876" w:rsidRPr="00ED2C13" w:rsidRDefault="00711876" w:rsidP="00510F3F">
            <w:pPr>
              <w:pStyle w:val="Style7ptBlackLeft-019cmRight-019cm"/>
              <w:rPr>
                <w:b/>
                <w:sz w:val="40"/>
              </w:rPr>
            </w:pPr>
            <w:r>
              <w:rPr>
                <w:b/>
                <w:sz w:val="40"/>
              </w:rPr>
              <w:t xml:space="preserve">Report to </w:t>
            </w:r>
            <w:r w:rsidR="00510F3F">
              <w:rPr>
                <w:b/>
                <w:sz w:val="40"/>
              </w:rPr>
              <w:t>King</w:t>
            </w:r>
            <w:r w:rsidR="00A558E7">
              <w:rPr>
                <w:b/>
                <w:sz w:val="40"/>
              </w:rPr>
              <w:t>’</w:t>
            </w:r>
            <w:r w:rsidR="00510F3F">
              <w:rPr>
                <w:b/>
                <w:sz w:val="40"/>
              </w:rPr>
              <w:t>s Lynn and West Norfolk Borough</w:t>
            </w:r>
            <w:r>
              <w:rPr>
                <w:b/>
                <w:sz w:val="44"/>
              </w:rPr>
              <w:t xml:space="preserve"> Council</w:t>
            </w:r>
          </w:p>
        </w:tc>
      </w:tr>
      <w:tr w:rsidR="00711876" w:rsidRPr="0034226D" w:rsidTr="00636D8B">
        <w:trPr>
          <w:cantSplit/>
          <w:trHeight w:val="374"/>
        </w:trPr>
        <w:tc>
          <w:tcPr>
            <w:tcW w:w="9498" w:type="dxa"/>
            <w:shd w:val="clear" w:color="auto" w:fill="auto"/>
          </w:tcPr>
          <w:p w:rsidR="00711876" w:rsidRPr="00ED2C13" w:rsidRDefault="00711876" w:rsidP="00510F3F">
            <w:pPr>
              <w:spacing w:before="180"/>
              <w:ind w:left="-108"/>
              <w:rPr>
                <w:b/>
                <w:color w:val="000000"/>
              </w:rPr>
            </w:pPr>
            <w:r>
              <w:rPr>
                <w:b/>
                <w:color w:val="000000"/>
              </w:rPr>
              <w:t xml:space="preserve">by </w:t>
            </w:r>
            <w:r w:rsidR="00510F3F">
              <w:rPr>
                <w:b/>
                <w:color w:val="000000"/>
              </w:rPr>
              <w:t>David Hogger BA MSc MRTPI MCIHT</w:t>
            </w:r>
            <w:r>
              <w:rPr>
                <w:b/>
                <w:color w:val="000000"/>
              </w:rPr>
              <w:t xml:space="preserve"> </w:t>
            </w:r>
          </w:p>
        </w:tc>
      </w:tr>
      <w:tr w:rsidR="00711876" w:rsidRPr="000A2C71" w:rsidTr="00636D8B">
        <w:trPr>
          <w:cantSplit/>
          <w:trHeight w:hRule="exact" w:val="357"/>
        </w:trPr>
        <w:tc>
          <w:tcPr>
            <w:tcW w:w="9498" w:type="dxa"/>
            <w:shd w:val="clear" w:color="auto" w:fill="auto"/>
          </w:tcPr>
          <w:p w:rsidR="00711876" w:rsidRPr="00E2275A" w:rsidRDefault="00711876" w:rsidP="00636D8B">
            <w:pPr>
              <w:spacing w:before="120" w:line="360" w:lineRule="auto"/>
              <w:ind w:left="-108"/>
              <w:rPr>
                <w:b/>
                <w:color w:val="000000"/>
                <w:sz w:val="18"/>
                <w:szCs w:val="18"/>
              </w:rPr>
            </w:pPr>
            <w:r w:rsidRPr="00E2275A">
              <w:rPr>
                <w:b/>
                <w:color w:val="000000"/>
                <w:sz w:val="18"/>
                <w:szCs w:val="18"/>
              </w:rPr>
              <w:t>an Inspector appointed by the Secretary of State for Communities and Local Government</w:t>
            </w:r>
          </w:p>
        </w:tc>
      </w:tr>
      <w:tr w:rsidR="00711876" w:rsidRPr="000A2C71" w:rsidTr="00636D8B">
        <w:trPr>
          <w:cantSplit/>
          <w:trHeight w:hRule="exact" w:val="374"/>
        </w:trPr>
        <w:tc>
          <w:tcPr>
            <w:tcW w:w="9498" w:type="dxa"/>
            <w:shd w:val="clear" w:color="auto" w:fill="auto"/>
          </w:tcPr>
          <w:p w:rsidR="00711876" w:rsidRDefault="00711876" w:rsidP="00636D8B">
            <w:pPr>
              <w:pStyle w:val="StyleVerdana7ptBlackLeft-02cm"/>
              <w:spacing w:before="120" w:line="360" w:lineRule="auto"/>
              <w:rPr>
                <w:b/>
                <w:sz w:val="16"/>
                <w:szCs w:val="16"/>
              </w:rPr>
            </w:pPr>
            <w:r w:rsidRPr="00F369C1">
              <w:rPr>
                <w:b/>
                <w:sz w:val="16"/>
                <w:szCs w:val="16"/>
              </w:rPr>
              <w:t>Date</w:t>
            </w:r>
            <w:r w:rsidR="00892727">
              <w:rPr>
                <w:b/>
                <w:sz w:val="16"/>
                <w:szCs w:val="16"/>
              </w:rPr>
              <w:t xml:space="preserve"> 22 Aug 2016</w:t>
            </w:r>
          </w:p>
          <w:p w:rsidR="00711876" w:rsidRPr="000A2C71" w:rsidRDefault="00711876" w:rsidP="00636D8B">
            <w:pPr>
              <w:tabs>
                <w:tab w:val="left" w:pos="2250"/>
              </w:tabs>
            </w:pPr>
            <w:r>
              <w:tab/>
            </w:r>
          </w:p>
          <w:p w:rsidR="00711876" w:rsidRDefault="00711876" w:rsidP="00636D8B">
            <w:pPr>
              <w:pStyle w:val="StyleVerdana7ptBlackLeft-02cm"/>
              <w:spacing w:before="120"/>
              <w:rPr>
                <w:b/>
                <w:sz w:val="16"/>
                <w:szCs w:val="16"/>
              </w:rPr>
            </w:pPr>
          </w:p>
          <w:p w:rsidR="00711876" w:rsidRPr="000A2C71" w:rsidRDefault="00711876" w:rsidP="00636D8B">
            <w:pPr>
              <w:pStyle w:val="StyleVerdana7ptBlackLeft-02cm"/>
            </w:pPr>
          </w:p>
        </w:tc>
      </w:tr>
    </w:tbl>
    <w:p w:rsidR="00D21E3D" w:rsidRDefault="00D21E3D" w:rsidP="00D21E3D">
      <w:pPr>
        <w:pStyle w:val="Noindent"/>
      </w:pPr>
    </w:p>
    <w:p w:rsidR="00D21E3D" w:rsidRDefault="00D21E3D" w:rsidP="00D21E3D">
      <w:pPr>
        <w:pStyle w:val="Header"/>
      </w:pPr>
    </w:p>
    <w:p w:rsidR="00D21E3D" w:rsidRDefault="00D21E3D" w:rsidP="00D21E3D">
      <w:pPr>
        <w:pStyle w:val="Noindent"/>
      </w:pPr>
    </w:p>
    <w:p w:rsidR="00D21E3D" w:rsidRDefault="00D21E3D" w:rsidP="00D21E3D"/>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tbl>
      <w:tblPr>
        <w:tblW w:w="9948" w:type="dxa"/>
        <w:tblInd w:w="-432" w:type="dxa"/>
        <w:tblLayout w:type="fixed"/>
        <w:tblLook w:val="0000" w:firstRow="0" w:lastRow="0" w:firstColumn="0" w:lastColumn="0" w:noHBand="0" w:noVBand="0"/>
      </w:tblPr>
      <w:tblGrid>
        <w:gridCol w:w="9948"/>
      </w:tblGrid>
      <w:tr w:rsidR="00D21E3D" w:rsidTr="00FC4746">
        <w:trPr>
          <w:cantSplit/>
        </w:trPr>
        <w:tc>
          <w:tcPr>
            <w:tcW w:w="9948" w:type="dxa"/>
          </w:tcPr>
          <w:p w:rsidR="00D21E3D" w:rsidRPr="00496FB4" w:rsidRDefault="00D21E3D" w:rsidP="00FC4746">
            <w:pPr>
              <w:pStyle w:val="Noindent"/>
              <w:tabs>
                <w:tab w:val="clear" w:pos="426"/>
              </w:tabs>
              <w:spacing w:before="240"/>
              <w:jc w:val="center"/>
            </w:pPr>
            <w:r w:rsidRPr="00496FB4">
              <w:t>PLANNING AND COMPULSORY PURCHASE ACT 2004</w:t>
            </w:r>
            <w:r w:rsidR="004C763A">
              <w:t xml:space="preserve"> (AS AMENDED)</w:t>
            </w:r>
          </w:p>
        </w:tc>
      </w:tr>
      <w:tr w:rsidR="00D21E3D" w:rsidTr="00FC4746">
        <w:trPr>
          <w:cantSplit/>
        </w:trPr>
        <w:tc>
          <w:tcPr>
            <w:tcW w:w="9948" w:type="dxa"/>
          </w:tcPr>
          <w:p w:rsidR="00D21E3D" w:rsidRPr="00496FB4" w:rsidRDefault="00D21E3D" w:rsidP="00FC4746">
            <w:pPr>
              <w:pStyle w:val="Noindent"/>
              <w:tabs>
                <w:tab w:val="clear" w:pos="426"/>
              </w:tabs>
              <w:spacing w:before="240"/>
              <w:jc w:val="center"/>
            </w:pPr>
            <w:r w:rsidRPr="00496FB4">
              <w:t>SECTION 20</w:t>
            </w:r>
          </w:p>
        </w:tc>
      </w:tr>
      <w:tr w:rsidR="00D21E3D" w:rsidTr="00FC4746">
        <w:trPr>
          <w:cantSplit/>
        </w:trPr>
        <w:tc>
          <w:tcPr>
            <w:tcW w:w="9948" w:type="dxa"/>
          </w:tcPr>
          <w:p w:rsidR="00D21E3D" w:rsidRPr="00496FB4" w:rsidRDefault="00D21E3D" w:rsidP="00FC4746">
            <w:pPr>
              <w:pStyle w:val="Noindent"/>
              <w:tabs>
                <w:tab w:val="clear" w:pos="426"/>
              </w:tabs>
              <w:spacing w:before="240"/>
              <w:jc w:val="center"/>
            </w:pPr>
          </w:p>
        </w:tc>
      </w:tr>
      <w:tr w:rsidR="00D21E3D" w:rsidTr="00FC4746">
        <w:trPr>
          <w:cantSplit/>
        </w:trPr>
        <w:tc>
          <w:tcPr>
            <w:tcW w:w="9948" w:type="dxa"/>
          </w:tcPr>
          <w:p w:rsidR="00D21E3D" w:rsidRPr="003624D8" w:rsidRDefault="00D21E3D" w:rsidP="001C7FD9">
            <w:pPr>
              <w:pStyle w:val="Noindent"/>
              <w:tabs>
                <w:tab w:val="clear" w:pos="426"/>
              </w:tabs>
              <w:spacing w:before="240"/>
              <w:jc w:val="center"/>
              <w:rPr>
                <w:b/>
              </w:rPr>
            </w:pPr>
            <w:r w:rsidRPr="003624D8">
              <w:rPr>
                <w:b/>
              </w:rPr>
              <w:t xml:space="preserve">REPORT ON THE EXAMINATION INTO </w:t>
            </w:r>
            <w:r w:rsidR="001C7FD9">
              <w:rPr>
                <w:b/>
              </w:rPr>
              <w:t xml:space="preserve">THE </w:t>
            </w:r>
            <w:r w:rsidR="00D11479">
              <w:rPr>
                <w:b/>
              </w:rPr>
              <w:t xml:space="preserve">KING’S LYNN AND WEST NORFOLK </w:t>
            </w:r>
            <w:r w:rsidR="001C7FD9">
              <w:rPr>
                <w:b/>
              </w:rPr>
              <w:t>SITE ALLOCATIONS AND DEVELOPMENT MANAGEMENT POLICIES LOCAL PLAN</w:t>
            </w:r>
          </w:p>
        </w:tc>
      </w:tr>
      <w:tr w:rsidR="00D21E3D" w:rsidTr="00FC4746">
        <w:trPr>
          <w:cantSplit/>
        </w:trPr>
        <w:tc>
          <w:tcPr>
            <w:tcW w:w="9948" w:type="dxa"/>
          </w:tcPr>
          <w:p w:rsidR="00D21E3D" w:rsidRPr="003624D8" w:rsidRDefault="00D21E3D" w:rsidP="00FC4746">
            <w:pPr>
              <w:pStyle w:val="Noindent"/>
              <w:tabs>
                <w:tab w:val="clear" w:pos="426"/>
              </w:tabs>
              <w:spacing w:before="240"/>
              <w:jc w:val="center"/>
              <w:rPr>
                <w:b/>
              </w:rPr>
            </w:pPr>
          </w:p>
        </w:tc>
      </w:tr>
    </w:tbl>
    <w:p w:rsidR="00D21E3D" w:rsidRDefault="00D21E3D" w:rsidP="00D21E3D"/>
    <w:p w:rsidR="00D21E3D" w:rsidRDefault="00D21E3D" w:rsidP="00D21E3D"/>
    <w:p w:rsidR="00D21E3D" w:rsidRDefault="00D21E3D" w:rsidP="00D21E3D"/>
    <w:p w:rsidR="00D21E3D" w:rsidRDefault="00D21E3D" w:rsidP="00D21E3D"/>
    <w:p w:rsidR="00D21E3D" w:rsidRDefault="00D21E3D" w:rsidP="00D21E3D"/>
    <w:p w:rsidR="00D21E3D" w:rsidRDefault="00D21E3D" w:rsidP="00D21E3D"/>
    <w:p w:rsidR="00D74866" w:rsidRDefault="00D74866" w:rsidP="00D21E3D"/>
    <w:p w:rsidR="00D21E3D" w:rsidRDefault="00D21E3D" w:rsidP="00D21E3D"/>
    <w:p w:rsidR="00D21E3D" w:rsidRDefault="00D21E3D" w:rsidP="00D21E3D"/>
    <w:tbl>
      <w:tblPr>
        <w:tblW w:w="9900" w:type="dxa"/>
        <w:tblInd w:w="-432" w:type="dxa"/>
        <w:tblLook w:val="0000" w:firstRow="0" w:lastRow="0" w:firstColumn="0" w:lastColumn="0" w:noHBand="0" w:noVBand="0"/>
      </w:tblPr>
      <w:tblGrid>
        <w:gridCol w:w="9900"/>
      </w:tblGrid>
      <w:tr w:rsidR="00D21E3D" w:rsidTr="00FC4746">
        <w:trPr>
          <w:trHeight w:val="476"/>
        </w:trPr>
        <w:tc>
          <w:tcPr>
            <w:tcW w:w="9900" w:type="dxa"/>
          </w:tcPr>
          <w:p w:rsidR="00D21E3D" w:rsidRPr="00C10AA7" w:rsidRDefault="00D21E3D" w:rsidP="001C2441">
            <w:pPr>
              <w:pStyle w:val="Noindent"/>
              <w:tabs>
                <w:tab w:val="clear" w:pos="426"/>
              </w:tabs>
              <w:rPr>
                <w:color w:val="FF6600"/>
                <w:szCs w:val="24"/>
              </w:rPr>
            </w:pPr>
            <w:r w:rsidRPr="00C10AA7">
              <w:rPr>
                <w:szCs w:val="24"/>
              </w:rPr>
              <w:t xml:space="preserve">Document submitted for examination on </w:t>
            </w:r>
            <w:r w:rsidR="001C2441">
              <w:rPr>
                <w:szCs w:val="24"/>
              </w:rPr>
              <w:t>22</w:t>
            </w:r>
            <w:r w:rsidR="001C2441" w:rsidRPr="001C2441">
              <w:rPr>
                <w:szCs w:val="24"/>
                <w:vertAlign w:val="superscript"/>
              </w:rPr>
              <w:t>nd</w:t>
            </w:r>
            <w:r w:rsidR="001C2441">
              <w:rPr>
                <w:szCs w:val="24"/>
              </w:rPr>
              <w:t xml:space="preserve"> April 2015</w:t>
            </w:r>
          </w:p>
        </w:tc>
      </w:tr>
      <w:tr w:rsidR="00D21E3D" w:rsidTr="00FC4746">
        <w:trPr>
          <w:trHeight w:val="359"/>
        </w:trPr>
        <w:tc>
          <w:tcPr>
            <w:tcW w:w="9900" w:type="dxa"/>
          </w:tcPr>
          <w:p w:rsidR="00D21E3D" w:rsidRPr="00C10AA7" w:rsidRDefault="00D21E3D" w:rsidP="003A0F7E">
            <w:pPr>
              <w:pStyle w:val="Noindent"/>
              <w:tabs>
                <w:tab w:val="clear" w:pos="426"/>
              </w:tabs>
              <w:rPr>
                <w:color w:val="FF6600"/>
                <w:szCs w:val="24"/>
              </w:rPr>
            </w:pPr>
            <w:r w:rsidRPr="00C10AA7">
              <w:rPr>
                <w:szCs w:val="24"/>
              </w:rPr>
              <w:t xml:space="preserve">Examination hearings held </w:t>
            </w:r>
            <w:r w:rsidR="003A0F7E">
              <w:rPr>
                <w:szCs w:val="24"/>
              </w:rPr>
              <w:t>on 7</w:t>
            </w:r>
            <w:r w:rsidR="003A0F7E" w:rsidRPr="003A0F7E">
              <w:rPr>
                <w:szCs w:val="24"/>
                <w:vertAlign w:val="superscript"/>
              </w:rPr>
              <w:t>th</w:t>
            </w:r>
            <w:r w:rsidR="003A0F7E">
              <w:rPr>
                <w:szCs w:val="24"/>
              </w:rPr>
              <w:t xml:space="preserve"> July 2015 and </w:t>
            </w:r>
            <w:r w:rsidRPr="00C10AA7">
              <w:rPr>
                <w:szCs w:val="24"/>
              </w:rPr>
              <w:t xml:space="preserve">between </w:t>
            </w:r>
            <w:r w:rsidR="003A0F7E">
              <w:rPr>
                <w:szCs w:val="24"/>
              </w:rPr>
              <w:t>30</w:t>
            </w:r>
            <w:r w:rsidR="003A0F7E" w:rsidRPr="003A0F7E">
              <w:rPr>
                <w:szCs w:val="24"/>
                <w:vertAlign w:val="superscript"/>
              </w:rPr>
              <w:t>th</w:t>
            </w:r>
            <w:r w:rsidR="003A0F7E">
              <w:rPr>
                <w:szCs w:val="24"/>
              </w:rPr>
              <w:t xml:space="preserve"> September and 2</w:t>
            </w:r>
            <w:r w:rsidR="003A0F7E" w:rsidRPr="003A0F7E">
              <w:rPr>
                <w:szCs w:val="24"/>
                <w:vertAlign w:val="superscript"/>
              </w:rPr>
              <w:t>nd</w:t>
            </w:r>
            <w:r w:rsidR="003A0F7E">
              <w:rPr>
                <w:szCs w:val="24"/>
              </w:rPr>
              <w:t xml:space="preserve"> October; 3</w:t>
            </w:r>
            <w:r w:rsidR="003A0F7E" w:rsidRPr="003A0F7E">
              <w:rPr>
                <w:szCs w:val="24"/>
                <w:vertAlign w:val="superscript"/>
              </w:rPr>
              <w:t>rd</w:t>
            </w:r>
            <w:r w:rsidR="003A0F7E">
              <w:rPr>
                <w:szCs w:val="24"/>
              </w:rPr>
              <w:t xml:space="preserve"> November and 5</w:t>
            </w:r>
            <w:r w:rsidR="003A0F7E" w:rsidRPr="003A0F7E">
              <w:rPr>
                <w:szCs w:val="24"/>
                <w:vertAlign w:val="superscript"/>
              </w:rPr>
              <w:t>th</w:t>
            </w:r>
            <w:r w:rsidR="003A0F7E">
              <w:rPr>
                <w:szCs w:val="24"/>
              </w:rPr>
              <w:t xml:space="preserve"> November; and 17</w:t>
            </w:r>
            <w:r w:rsidR="003A0F7E" w:rsidRPr="003A0F7E">
              <w:rPr>
                <w:szCs w:val="24"/>
                <w:vertAlign w:val="superscript"/>
              </w:rPr>
              <w:t>th</w:t>
            </w:r>
            <w:r w:rsidR="003A0F7E">
              <w:rPr>
                <w:szCs w:val="24"/>
              </w:rPr>
              <w:t xml:space="preserve"> November and 19</w:t>
            </w:r>
            <w:r w:rsidR="003A0F7E" w:rsidRPr="003A0F7E">
              <w:rPr>
                <w:szCs w:val="24"/>
                <w:vertAlign w:val="superscript"/>
              </w:rPr>
              <w:t>th</w:t>
            </w:r>
            <w:r w:rsidR="003A0F7E">
              <w:rPr>
                <w:szCs w:val="24"/>
              </w:rPr>
              <w:t xml:space="preserve"> November 2015.</w:t>
            </w:r>
          </w:p>
        </w:tc>
      </w:tr>
      <w:tr w:rsidR="00D21E3D" w:rsidTr="00FC4746">
        <w:trPr>
          <w:trHeight w:val="694"/>
        </w:trPr>
        <w:tc>
          <w:tcPr>
            <w:tcW w:w="9900" w:type="dxa"/>
          </w:tcPr>
          <w:p w:rsidR="00D21E3D" w:rsidRDefault="00D21E3D" w:rsidP="00FC4746">
            <w:pPr>
              <w:pStyle w:val="Noindent"/>
              <w:tabs>
                <w:tab w:val="clear" w:pos="426"/>
              </w:tabs>
            </w:pPr>
          </w:p>
        </w:tc>
      </w:tr>
      <w:tr w:rsidR="00D21E3D" w:rsidTr="00FC4746">
        <w:trPr>
          <w:trHeight w:val="502"/>
        </w:trPr>
        <w:tc>
          <w:tcPr>
            <w:tcW w:w="9900" w:type="dxa"/>
          </w:tcPr>
          <w:p w:rsidR="00D21E3D" w:rsidRPr="00C10AA7" w:rsidRDefault="00D21E3D" w:rsidP="001C2441">
            <w:pPr>
              <w:pStyle w:val="Noindent"/>
              <w:tabs>
                <w:tab w:val="clear" w:pos="426"/>
              </w:tabs>
              <w:rPr>
                <w:color w:val="FF6600"/>
                <w:szCs w:val="24"/>
              </w:rPr>
            </w:pPr>
            <w:r>
              <w:rPr>
                <w:szCs w:val="24"/>
              </w:rPr>
              <w:t>File Ref</w:t>
            </w:r>
            <w:r w:rsidRPr="00C10AA7">
              <w:rPr>
                <w:szCs w:val="24"/>
              </w:rPr>
              <w:t xml:space="preserve">: </w:t>
            </w:r>
            <w:r w:rsidR="001C2441">
              <w:rPr>
                <w:szCs w:val="24"/>
              </w:rPr>
              <w:t>PINS/V2635/429/5</w:t>
            </w:r>
          </w:p>
        </w:tc>
      </w:tr>
    </w:tbl>
    <w:p w:rsidR="00196198" w:rsidRDefault="00196198" w:rsidP="006C04F8">
      <w:pPr>
        <w:pStyle w:val="Noindent"/>
        <w:tabs>
          <w:tab w:val="clear" w:pos="426"/>
        </w:tabs>
        <w:sectPr w:rsidR="00196198" w:rsidSect="008046EC">
          <w:headerReference w:type="even" r:id="rId11"/>
          <w:headerReference w:type="default" r:id="rId12"/>
          <w:footerReference w:type="even" r:id="rId13"/>
          <w:footerReference w:type="default" r:id="rId14"/>
          <w:headerReference w:type="first" r:id="rId15"/>
          <w:footerReference w:type="first" r:id="rId16"/>
          <w:pgSz w:w="11906" w:h="16838" w:code="9"/>
          <w:pgMar w:top="1152" w:right="1080" w:bottom="1282" w:left="1526" w:header="706" w:footer="706" w:gutter="0"/>
          <w:pgNumType w:start="1"/>
          <w:cols w:space="708"/>
          <w:titlePg/>
          <w:docGrid w:linePitch="360"/>
        </w:sectPr>
      </w:pPr>
    </w:p>
    <w:p w:rsidR="000B7EE6" w:rsidRDefault="000B7EE6" w:rsidP="006C04F8">
      <w:pPr>
        <w:pStyle w:val="Noindent"/>
        <w:tabs>
          <w:tab w:val="clear" w:pos="426"/>
        </w:tabs>
      </w:pPr>
    </w:p>
    <w:p w:rsidR="00913AFD" w:rsidRPr="001B62EC" w:rsidRDefault="00E2275A" w:rsidP="001B62EC">
      <w:pPr>
        <w:pStyle w:val="DPDReportMainHeading"/>
      </w:pPr>
      <w:r>
        <w:t>Abbreviations Used in t</w:t>
      </w:r>
      <w:r w:rsidR="001B62EC" w:rsidRPr="001B62EC">
        <w:t>his Report</w:t>
      </w:r>
    </w:p>
    <w:tbl>
      <w:tblPr>
        <w:tblW w:w="0" w:type="auto"/>
        <w:tblLook w:val="01E0" w:firstRow="1" w:lastRow="1" w:firstColumn="1" w:lastColumn="1" w:noHBand="0" w:noVBand="0"/>
      </w:tblPr>
      <w:tblGrid>
        <w:gridCol w:w="1908"/>
        <w:gridCol w:w="7608"/>
      </w:tblGrid>
      <w:tr w:rsidR="001B62EC" w:rsidRPr="00BB1A5C" w:rsidTr="00BB1A5C">
        <w:tc>
          <w:tcPr>
            <w:tcW w:w="1908" w:type="dxa"/>
            <w:shd w:val="clear" w:color="auto" w:fill="auto"/>
          </w:tcPr>
          <w:p w:rsidR="001B62EC" w:rsidRPr="00BB1A5C" w:rsidRDefault="001B62EC" w:rsidP="00BB1A5C">
            <w:pPr>
              <w:pStyle w:val="Noindent"/>
              <w:tabs>
                <w:tab w:val="clear" w:pos="426"/>
              </w:tabs>
              <w:rPr>
                <w:rFonts w:eastAsia="MS Mincho"/>
                <w:szCs w:val="22"/>
              </w:rPr>
            </w:pPr>
          </w:p>
        </w:tc>
        <w:tc>
          <w:tcPr>
            <w:tcW w:w="7608" w:type="dxa"/>
            <w:shd w:val="clear" w:color="auto" w:fill="auto"/>
          </w:tcPr>
          <w:p w:rsidR="001B62EC" w:rsidRPr="00BB1A5C" w:rsidRDefault="001B62EC" w:rsidP="00BB1A5C">
            <w:pPr>
              <w:pStyle w:val="Noindent"/>
              <w:tabs>
                <w:tab w:val="clear" w:pos="426"/>
              </w:tabs>
              <w:rPr>
                <w:rFonts w:eastAsia="MS Mincho"/>
                <w:szCs w:val="22"/>
              </w:rPr>
            </w:pPr>
          </w:p>
        </w:tc>
      </w:tr>
      <w:tr w:rsidR="001B62EC" w:rsidRPr="00BB1A5C" w:rsidTr="00BB1A5C">
        <w:tc>
          <w:tcPr>
            <w:tcW w:w="1908" w:type="dxa"/>
            <w:shd w:val="clear" w:color="auto" w:fill="auto"/>
          </w:tcPr>
          <w:p w:rsidR="001B62EC" w:rsidRPr="00BB1A5C" w:rsidRDefault="001B62EC" w:rsidP="00BB1A5C">
            <w:pPr>
              <w:pStyle w:val="Noindent"/>
              <w:tabs>
                <w:tab w:val="clear" w:pos="426"/>
              </w:tabs>
              <w:rPr>
                <w:rFonts w:eastAsia="MS Mincho"/>
                <w:szCs w:val="22"/>
              </w:rPr>
            </w:pPr>
          </w:p>
        </w:tc>
        <w:tc>
          <w:tcPr>
            <w:tcW w:w="7608" w:type="dxa"/>
            <w:shd w:val="clear" w:color="auto" w:fill="auto"/>
          </w:tcPr>
          <w:p w:rsidR="001B62EC" w:rsidRPr="00BB1A5C" w:rsidRDefault="001B62EC" w:rsidP="00BB1A5C">
            <w:pPr>
              <w:pStyle w:val="Noindent"/>
              <w:tabs>
                <w:tab w:val="clear" w:pos="426"/>
              </w:tabs>
              <w:rPr>
                <w:rFonts w:eastAsia="MS Mincho"/>
                <w:szCs w:val="22"/>
              </w:rPr>
            </w:pPr>
          </w:p>
        </w:tc>
      </w:tr>
      <w:tr w:rsidR="001B62EC" w:rsidRPr="00BB1A5C" w:rsidTr="00BB1A5C">
        <w:tc>
          <w:tcPr>
            <w:tcW w:w="1908" w:type="dxa"/>
            <w:shd w:val="clear" w:color="auto" w:fill="auto"/>
          </w:tcPr>
          <w:p w:rsidR="00DC5971" w:rsidRDefault="00DC5971" w:rsidP="00BB1A5C">
            <w:pPr>
              <w:pStyle w:val="Noindent"/>
              <w:tabs>
                <w:tab w:val="clear" w:pos="426"/>
              </w:tabs>
              <w:rPr>
                <w:rFonts w:eastAsia="MS Mincho"/>
                <w:szCs w:val="22"/>
              </w:rPr>
            </w:pPr>
            <w:r>
              <w:rPr>
                <w:rFonts w:eastAsia="MS Mincho"/>
                <w:szCs w:val="22"/>
              </w:rPr>
              <w:t>AONB</w:t>
            </w:r>
          </w:p>
          <w:p w:rsidR="00453360" w:rsidRDefault="00453360" w:rsidP="00BB1A5C">
            <w:pPr>
              <w:pStyle w:val="Noindent"/>
              <w:tabs>
                <w:tab w:val="clear" w:pos="426"/>
              </w:tabs>
              <w:rPr>
                <w:rFonts w:eastAsia="MS Mincho"/>
                <w:szCs w:val="22"/>
              </w:rPr>
            </w:pPr>
            <w:r>
              <w:rPr>
                <w:rFonts w:eastAsia="MS Mincho"/>
                <w:szCs w:val="22"/>
              </w:rPr>
              <w:t>CA</w:t>
            </w:r>
          </w:p>
          <w:p w:rsidR="001B62EC" w:rsidRDefault="001B62EC" w:rsidP="00BB1A5C">
            <w:pPr>
              <w:pStyle w:val="Noindent"/>
              <w:tabs>
                <w:tab w:val="clear" w:pos="426"/>
              </w:tabs>
              <w:rPr>
                <w:rFonts w:eastAsia="MS Mincho"/>
                <w:szCs w:val="22"/>
              </w:rPr>
            </w:pPr>
            <w:r w:rsidRPr="00BB1A5C">
              <w:rPr>
                <w:rFonts w:eastAsia="MS Mincho"/>
                <w:szCs w:val="22"/>
              </w:rPr>
              <w:t>CS</w:t>
            </w:r>
          </w:p>
          <w:p w:rsidR="00D72104" w:rsidRDefault="00D72104" w:rsidP="00BB1A5C">
            <w:pPr>
              <w:pStyle w:val="Noindent"/>
              <w:tabs>
                <w:tab w:val="clear" w:pos="426"/>
              </w:tabs>
              <w:rPr>
                <w:rFonts w:eastAsia="MS Mincho"/>
                <w:szCs w:val="22"/>
              </w:rPr>
            </w:pPr>
            <w:r>
              <w:rPr>
                <w:rFonts w:eastAsia="MS Mincho"/>
                <w:szCs w:val="22"/>
              </w:rPr>
              <w:t>EA</w:t>
            </w:r>
          </w:p>
          <w:p w:rsidR="00DC5971" w:rsidRPr="00BB1A5C" w:rsidRDefault="00DC5971" w:rsidP="00BB1A5C">
            <w:pPr>
              <w:pStyle w:val="Noindent"/>
              <w:tabs>
                <w:tab w:val="clear" w:pos="426"/>
              </w:tabs>
              <w:rPr>
                <w:rFonts w:eastAsia="MS Mincho"/>
                <w:szCs w:val="22"/>
              </w:rPr>
            </w:pPr>
            <w:r>
              <w:rPr>
                <w:rFonts w:eastAsia="MS Mincho"/>
                <w:szCs w:val="22"/>
              </w:rPr>
              <w:t>ha</w:t>
            </w:r>
          </w:p>
        </w:tc>
        <w:tc>
          <w:tcPr>
            <w:tcW w:w="7608" w:type="dxa"/>
            <w:shd w:val="clear" w:color="auto" w:fill="auto"/>
          </w:tcPr>
          <w:p w:rsidR="00DC5971" w:rsidRDefault="00DC5971" w:rsidP="00BB1A5C">
            <w:pPr>
              <w:pStyle w:val="Noindent"/>
              <w:tabs>
                <w:tab w:val="clear" w:pos="426"/>
              </w:tabs>
              <w:rPr>
                <w:rFonts w:eastAsia="MS Mincho"/>
                <w:szCs w:val="22"/>
              </w:rPr>
            </w:pPr>
            <w:r>
              <w:rPr>
                <w:rFonts w:eastAsia="MS Mincho"/>
                <w:szCs w:val="22"/>
              </w:rPr>
              <w:t>Area of Outstanding Natural Beauty</w:t>
            </w:r>
          </w:p>
          <w:p w:rsidR="00453360" w:rsidRDefault="00453360" w:rsidP="00BB1A5C">
            <w:pPr>
              <w:pStyle w:val="Noindent"/>
              <w:tabs>
                <w:tab w:val="clear" w:pos="426"/>
              </w:tabs>
              <w:rPr>
                <w:rFonts w:eastAsia="MS Mincho"/>
                <w:szCs w:val="22"/>
              </w:rPr>
            </w:pPr>
            <w:r>
              <w:rPr>
                <w:rFonts w:eastAsia="MS Mincho"/>
                <w:szCs w:val="22"/>
              </w:rPr>
              <w:t>Conservation Area</w:t>
            </w:r>
          </w:p>
          <w:p w:rsidR="001B62EC" w:rsidRDefault="001B62EC" w:rsidP="00BB1A5C">
            <w:pPr>
              <w:pStyle w:val="Noindent"/>
              <w:tabs>
                <w:tab w:val="clear" w:pos="426"/>
              </w:tabs>
              <w:rPr>
                <w:rFonts w:eastAsia="MS Mincho"/>
                <w:szCs w:val="22"/>
              </w:rPr>
            </w:pPr>
            <w:r w:rsidRPr="00BB1A5C">
              <w:rPr>
                <w:rFonts w:eastAsia="MS Mincho"/>
                <w:szCs w:val="22"/>
              </w:rPr>
              <w:t>Core Strategy</w:t>
            </w:r>
          </w:p>
          <w:p w:rsidR="00D72104" w:rsidRDefault="00D72104" w:rsidP="00BB1A5C">
            <w:pPr>
              <w:pStyle w:val="Noindent"/>
              <w:tabs>
                <w:tab w:val="clear" w:pos="426"/>
              </w:tabs>
              <w:rPr>
                <w:rFonts w:eastAsia="MS Mincho"/>
                <w:szCs w:val="22"/>
              </w:rPr>
            </w:pPr>
            <w:r>
              <w:rPr>
                <w:rFonts w:eastAsia="MS Mincho"/>
                <w:szCs w:val="22"/>
              </w:rPr>
              <w:t>Environment Agency</w:t>
            </w:r>
          </w:p>
          <w:p w:rsidR="00DC5971" w:rsidRPr="00BB1A5C" w:rsidRDefault="00DC5971" w:rsidP="00BB1A5C">
            <w:pPr>
              <w:pStyle w:val="Noindent"/>
              <w:tabs>
                <w:tab w:val="clear" w:pos="426"/>
              </w:tabs>
              <w:rPr>
                <w:rFonts w:eastAsia="MS Mincho"/>
                <w:szCs w:val="22"/>
              </w:rPr>
            </w:pPr>
            <w:r>
              <w:rPr>
                <w:rFonts w:eastAsia="MS Mincho"/>
                <w:szCs w:val="22"/>
              </w:rPr>
              <w:t>Hectare</w:t>
            </w:r>
          </w:p>
        </w:tc>
      </w:tr>
      <w:tr w:rsidR="00DC5971" w:rsidRPr="00BB1A5C" w:rsidTr="00BB1A5C">
        <w:tc>
          <w:tcPr>
            <w:tcW w:w="1908" w:type="dxa"/>
            <w:shd w:val="clear" w:color="auto" w:fill="auto"/>
          </w:tcPr>
          <w:p w:rsidR="00DC5971" w:rsidRPr="00BB1A5C" w:rsidRDefault="00DC5971" w:rsidP="00BA609D">
            <w:pPr>
              <w:pStyle w:val="Noindent"/>
              <w:tabs>
                <w:tab w:val="clear" w:pos="426"/>
              </w:tabs>
              <w:rPr>
                <w:rFonts w:eastAsia="MS Mincho"/>
                <w:szCs w:val="22"/>
              </w:rPr>
            </w:pPr>
            <w:r w:rsidRPr="00BB1A5C">
              <w:rPr>
                <w:rFonts w:eastAsia="MS Mincho"/>
                <w:szCs w:val="22"/>
              </w:rPr>
              <w:t>LP</w:t>
            </w:r>
          </w:p>
        </w:tc>
        <w:tc>
          <w:tcPr>
            <w:tcW w:w="7608" w:type="dxa"/>
            <w:shd w:val="clear" w:color="auto" w:fill="auto"/>
          </w:tcPr>
          <w:p w:rsidR="00DC5971" w:rsidRPr="00BB1A5C" w:rsidRDefault="00DC5971" w:rsidP="00BA609D">
            <w:pPr>
              <w:pStyle w:val="Noindent"/>
              <w:tabs>
                <w:tab w:val="clear" w:pos="426"/>
              </w:tabs>
              <w:rPr>
                <w:rFonts w:eastAsia="MS Mincho"/>
                <w:szCs w:val="22"/>
              </w:rPr>
            </w:pPr>
            <w:r w:rsidRPr="00BB1A5C">
              <w:rPr>
                <w:rFonts w:eastAsia="MS Mincho"/>
                <w:szCs w:val="22"/>
              </w:rPr>
              <w:t>Local Plan</w:t>
            </w:r>
          </w:p>
        </w:tc>
      </w:tr>
      <w:tr w:rsidR="00DC5971" w:rsidRPr="00BB1A5C" w:rsidTr="00BB1A5C">
        <w:tc>
          <w:tcPr>
            <w:tcW w:w="1908" w:type="dxa"/>
            <w:shd w:val="clear" w:color="auto" w:fill="auto"/>
          </w:tcPr>
          <w:p w:rsidR="00DC5971" w:rsidRPr="00BB1A5C" w:rsidRDefault="00DC5971" w:rsidP="00BA609D">
            <w:pPr>
              <w:pStyle w:val="Noindent"/>
              <w:tabs>
                <w:tab w:val="clear" w:pos="426"/>
              </w:tabs>
              <w:rPr>
                <w:rFonts w:eastAsia="MS Mincho"/>
                <w:szCs w:val="22"/>
              </w:rPr>
            </w:pPr>
            <w:r w:rsidRPr="00BB1A5C">
              <w:rPr>
                <w:rFonts w:eastAsia="MS Mincho"/>
                <w:szCs w:val="22"/>
              </w:rPr>
              <w:t>MM</w:t>
            </w:r>
          </w:p>
        </w:tc>
        <w:tc>
          <w:tcPr>
            <w:tcW w:w="7608" w:type="dxa"/>
            <w:shd w:val="clear" w:color="auto" w:fill="auto"/>
          </w:tcPr>
          <w:p w:rsidR="00DC5971" w:rsidRPr="00BB1A5C" w:rsidRDefault="00DC5971" w:rsidP="00BA609D">
            <w:pPr>
              <w:pStyle w:val="Noindent"/>
              <w:tabs>
                <w:tab w:val="clear" w:pos="426"/>
              </w:tabs>
              <w:rPr>
                <w:rFonts w:eastAsia="MS Mincho"/>
                <w:szCs w:val="22"/>
              </w:rPr>
            </w:pPr>
            <w:r w:rsidRPr="00BB1A5C">
              <w:rPr>
                <w:rFonts w:eastAsia="MS Mincho"/>
                <w:szCs w:val="22"/>
              </w:rPr>
              <w:t>Main Modification</w:t>
            </w: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r>
              <w:rPr>
                <w:rFonts w:eastAsia="MS Mincho"/>
                <w:szCs w:val="22"/>
              </w:rPr>
              <w:t>NPPF</w:t>
            </w:r>
          </w:p>
        </w:tc>
        <w:tc>
          <w:tcPr>
            <w:tcW w:w="7608" w:type="dxa"/>
            <w:shd w:val="clear" w:color="auto" w:fill="auto"/>
          </w:tcPr>
          <w:p w:rsidR="00DC5971" w:rsidRPr="00BB1A5C" w:rsidRDefault="00DC5971" w:rsidP="00A1151C">
            <w:pPr>
              <w:pStyle w:val="Noindent"/>
              <w:tabs>
                <w:tab w:val="clear" w:pos="426"/>
              </w:tabs>
              <w:rPr>
                <w:rFonts w:eastAsia="MS Mincho"/>
                <w:szCs w:val="22"/>
              </w:rPr>
            </w:pPr>
            <w:r>
              <w:rPr>
                <w:rFonts w:eastAsia="MS Mincho"/>
                <w:szCs w:val="22"/>
              </w:rPr>
              <w:t>National Planning Policy Framework</w:t>
            </w: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r>
              <w:rPr>
                <w:rFonts w:eastAsia="MS Mincho"/>
                <w:szCs w:val="22"/>
              </w:rPr>
              <w:t>NPPG</w:t>
            </w:r>
          </w:p>
        </w:tc>
        <w:tc>
          <w:tcPr>
            <w:tcW w:w="7608" w:type="dxa"/>
            <w:shd w:val="clear" w:color="auto" w:fill="auto"/>
          </w:tcPr>
          <w:p w:rsidR="00DC5971" w:rsidRPr="00BB1A5C" w:rsidRDefault="00DC5971" w:rsidP="00A1151C">
            <w:pPr>
              <w:pStyle w:val="Noindent"/>
              <w:tabs>
                <w:tab w:val="clear" w:pos="426"/>
              </w:tabs>
              <w:rPr>
                <w:rFonts w:eastAsia="MS Mincho"/>
                <w:szCs w:val="22"/>
              </w:rPr>
            </w:pPr>
            <w:r>
              <w:rPr>
                <w:rFonts w:eastAsia="MS Mincho"/>
                <w:szCs w:val="22"/>
              </w:rPr>
              <w:t>National Planning Policy Guidance</w:t>
            </w:r>
          </w:p>
        </w:tc>
      </w:tr>
      <w:tr w:rsidR="00DC5971" w:rsidRPr="00BB1A5C" w:rsidTr="00BB1A5C">
        <w:tc>
          <w:tcPr>
            <w:tcW w:w="1908" w:type="dxa"/>
            <w:shd w:val="clear" w:color="auto" w:fill="auto"/>
          </w:tcPr>
          <w:p w:rsidR="00DC5971" w:rsidRDefault="00DC5971" w:rsidP="00BA609D">
            <w:pPr>
              <w:pStyle w:val="Noindent"/>
              <w:tabs>
                <w:tab w:val="clear" w:pos="426"/>
              </w:tabs>
              <w:rPr>
                <w:rFonts w:eastAsia="MS Mincho"/>
                <w:szCs w:val="22"/>
              </w:rPr>
            </w:pPr>
            <w:r w:rsidRPr="00BB1A5C">
              <w:rPr>
                <w:rFonts w:eastAsia="MS Mincho"/>
                <w:szCs w:val="22"/>
              </w:rPr>
              <w:t>SA</w:t>
            </w:r>
          </w:p>
          <w:p w:rsidR="00DC5971" w:rsidRPr="00BB1A5C" w:rsidRDefault="00DC5971" w:rsidP="00BA609D">
            <w:pPr>
              <w:pStyle w:val="Noindent"/>
              <w:tabs>
                <w:tab w:val="clear" w:pos="426"/>
              </w:tabs>
              <w:rPr>
                <w:rFonts w:eastAsia="MS Mincho"/>
                <w:szCs w:val="22"/>
              </w:rPr>
            </w:pPr>
            <w:r>
              <w:rPr>
                <w:rFonts w:eastAsia="MS Mincho"/>
                <w:szCs w:val="22"/>
              </w:rPr>
              <w:t>SADMPP</w:t>
            </w:r>
          </w:p>
        </w:tc>
        <w:tc>
          <w:tcPr>
            <w:tcW w:w="7608" w:type="dxa"/>
            <w:shd w:val="clear" w:color="auto" w:fill="auto"/>
          </w:tcPr>
          <w:p w:rsidR="00DC5971" w:rsidRDefault="00DC5971" w:rsidP="00BA609D">
            <w:pPr>
              <w:pStyle w:val="Noindent"/>
              <w:tabs>
                <w:tab w:val="clear" w:pos="426"/>
              </w:tabs>
              <w:rPr>
                <w:rFonts w:eastAsia="MS Mincho"/>
                <w:szCs w:val="22"/>
              </w:rPr>
            </w:pPr>
            <w:r w:rsidRPr="00BB1A5C">
              <w:rPr>
                <w:rFonts w:eastAsia="MS Mincho"/>
                <w:szCs w:val="22"/>
              </w:rPr>
              <w:t>Sustainability Appraisal</w:t>
            </w:r>
          </w:p>
          <w:p w:rsidR="00DC5971" w:rsidRPr="00BB1A5C" w:rsidRDefault="00DC5971" w:rsidP="00BA609D">
            <w:pPr>
              <w:pStyle w:val="Noindent"/>
              <w:tabs>
                <w:tab w:val="clear" w:pos="426"/>
              </w:tabs>
              <w:rPr>
                <w:rFonts w:eastAsia="MS Mincho"/>
                <w:szCs w:val="22"/>
              </w:rPr>
            </w:pPr>
            <w:r>
              <w:rPr>
                <w:rFonts w:eastAsia="MS Mincho"/>
                <w:szCs w:val="22"/>
              </w:rPr>
              <w:t>Site Allocations and Development Management Policies Plan</w:t>
            </w:r>
          </w:p>
        </w:tc>
      </w:tr>
      <w:tr w:rsidR="00DC5971" w:rsidRPr="00BB1A5C" w:rsidTr="00BB1A5C">
        <w:tc>
          <w:tcPr>
            <w:tcW w:w="1908" w:type="dxa"/>
            <w:shd w:val="clear" w:color="auto" w:fill="auto"/>
          </w:tcPr>
          <w:p w:rsidR="00DC5971" w:rsidRDefault="00B147C7" w:rsidP="00A1151C">
            <w:pPr>
              <w:pStyle w:val="Noindent"/>
              <w:tabs>
                <w:tab w:val="clear" w:pos="426"/>
              </w:tabs>
              <w:rPr>
                <w:rFonts w:eastAsia="MS Mincho"/>
                <w:szCs w:val="22"/>
              </w:rPr>
            </w:pPr>
            <w:r>
              <w:rPr>
                <w:rFonts w:eastAsia="MS Mincho"/>
                <w:szCs w:val="22"/>
              </w:rPr>
              <w:t>SAM</w:t>
            </w:r>
          </w:p>
          <w:p w:rsidR="00DF15BB" w:rsidRPr="00BB1A5C" w:rsidRDefault="00DF15BB" w:rsidP="00A1151C">
            <w:pPr>
              <w:pStyle w:val="Noindent"/>
              <w:tabs>
                <w:tab w:val="clear" w:pos="426"/>
              </w:tabs>
              <w:rPr>
                <w:rFonts w:eastAsia="MS Mincho"/>
                <w:szCs w:val="22"/>
              </w:rPr>
            </w:pPr>
            <w:proofErr w:type="spellStart"/>
            <w:r>
              <w:rPr>
                <w:rFonts w:eastAsia="MS Mincho"/>
                <w:szCs w:val="22"/>
              </w:rPr>
              <w:t>SoCG</w:t>
            </w:r>
            <w:proofErr w:type="spellEnd"/>
          </w:p>
        </w:tc>
        <w:tc>
          <w:tcPr>
            <w:tcW w:w="7608" w:type="dxa"/>
            <w:shd w:val="clear" w:color="auto" w:fill="auto"/>
          </w:tcPr>
          <w:p w:rsidR="00DC5971" w:rsidRDefault="00B147C7" w:rsidP="00A1151C">
            <w:pPr>
              <w:pStyle w:val="Noindent"/>
              <w:tabs>
                <w:tab w:val="clear" w:pos="426"/>
              </w:tabs>
              <w:rPr>
                <w:rFonts w:eastAsia="MS Mincho"/>
                <w:szCs w:val="22"/>
              </w:rPr>
            </w:pPr>
            <w:r>
              <w:rPr>
                <w:rFonts w:eastAsia="MS Mincho"/>
                <w:szCs w:val="22"/>
              </w:rPr>
              <w:t>Scheduled Ancient Monument</w:t>
            </w:r>
          </w:p>
          <w:p w:rsidR="00DF15BB" w:rsidRPr="00BB1A5C" w:rsidRDefault="00DF15BB" w:rsidP="00A1151C">
            <w:pPr>
              <w:pStyle w:val="Noindent"/>
              <w:tabs>
                <w:tab w:val="clear" w:pos="426"/>
              </w:tabs>
              <w:rPr>
                <w:rFonts w:eastAsia="MS Mincho"/>
                <w:szCs w:val="22"/>
              </w:rPr>
            </w:pPr>
            <w:r>
              <w:rPr>
                <w:rFonts w:eastAsia="MS Mincho"/>
                <w:szCs w:val="22"/>
              </w:rPr>
              <w:t>Statement of Common Ground</w:t>
            </w: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A1151C">
            <w:pPr>
              <w:pStyle w:val="Noindent"/>
              <w:tabs>
                <w:tab w:val="clear" w:pos="426"/>
              </w:tabs>
              <w:rPr>
                <w:rFonts w:eastAsia="MS Mincho"/>
                <w:szCs w:val="22"/>
              </w:rPr>
            </w:pPr>
          </w:p>
        </w:tc>
        <w:tc>
          <w:tcPr>
            <w:tcW w:w="7608" w:type="dxa"/>
            <w:shd w:val="clear" w:color="auto" w:fill="auto"/>
          </w:tcPr>
          <w:p w:rsidR="00DC5971" w:rsidRPr="00BB1A5C" w:rsidRDefault="00DC5971" w:rsidP="00A1151C">
            <w:pPr>
              <w:pStyle w:val="Noindent"/>
              <w:tabs>
                <w:tab w:val="clear" w:pos="426"/>
              </w:tabs>
              <w:rPr>
                <w:rFonts w:eastAsia="MS Mincho"/>
                <w:szCs w:val="22"/>
              </w:rPr>
            </w:pPr>
          </w:p>
        </w:tc>
      </w:tr>
      <w:tr w:rsidR="00DC5971" w:rsidRPr="00BB1A5C" w:rsidTr="00BB1A5C">
        <w:tc>
          <w:tcPr>
            <w:tcW w:w="1908" w:type="dxa"/>
            <w:shd w:val="clear" w:color="auto" w:fill="auto"/>
          </w:tcPr>
          <w:p w:rsidR="00DC5971" w:rsidRPr="00BB1A5C" w:rsidRDefault="00DC5971" w:rsidP="00BB1A5C">
            <w:pPr>
              <w:pStyle w:val="Noindent"/>
              <w:tabs>
                <w:tab w:val="clear" w:pos="426"/>
              </w:tabs>
              <w:rPr>
                <w:rFonts w:eastAsia="MS Mincho"/>
                <w:szCs w:val="22"/>
              </w:rPr>
            </w:pPr>
          </w:p>
        </w:tc>
        <w:tc>
          <w:tcPr>
            <w:tcW w:w="7608" w:type="dxa"/>
            <w:shd w:val="clear" w:color="auto" w:fill="auto"/>
          </w:tcPr>
          <w:p w:rsidR="00DC5971" w:rsidRPr="00BB1A5C" w:rsidRDefault="00DC5971" w:rsidP="00BB1A5C">
            <w:pPr>
              <w:pStyle w:val="Noindent"/>
              <w:tabs>
                <w:tab w:val="clear" w:pos="426"/>
              </w:tabs>
              <w:rPr>
                <w:rFonts w:eastAsia="MS Mincho"/>
                <w:szCs w:val="22"/>
              </w:rPr>
            </w:pPr>
          </w:p>
        </w:tc>
      </w:tr>
    </w:tbl>
    <w:p w:rsidR="001B62EC" w:rsidRDefault="001B62EC" w:rsidP="00913AFD">
      <w:pPr>
        <w:pStyle w:val="Noindent"/>
        <w:tabs>
          <w:tab w:val="clear" w:pos="426"/>
        </w:tabs>
        <w:rPr>
          <w:szCs w:val="24"/>
        </w:rPr>
      </w:pPr>
    </w:p>
    <w:p w:rsidR="00167F95" w:rsidRDefault="00167F95" w:rsidP="00443721">
      <w:pPr>
        <w:pStyle w:val="Noindent"/>
        <w:tabs>
          <w:tab w:val="clear" w:pos="426"/>
        </w:tabs>
        <w:jc w:val="left"/>
      </w:pPr>
    </w:p>
    <w:p w:rsidR="002E6373" w:rsidRDefault="002E6373" w:rsidP="00443721">
      <w:pPr>
        <w:pStyle w:val="Noindent"/>
        <w:tabs>
          <w:tab w:val="clear" w:pos="426"/>
        </w:tabs>
        <w:jc w:val="left"/>
      </w:pPr>
    </w:p>
    <w:p w:rsidR="00443721" w:rsidRDefault="00196198" w:rsidP="00443721">
      <w:pPr>
        <w:pStyle w:val="Noindent"/>
        <w:tabs>
          <w:tab w:val="clear" w:pos="426"/>
        </w:tabs>
        <w:jc w:val="left"/>
      </w:pPr>
      <w:r>
        <w:br w:type="page"/>
      </w:r>
    </w:p>
    <w:tbl>
      <w:tblPr>
        <w:tblW w:w="9360" w:type="dxa"/>
        <w:tblInd w:w="108" w:type="dxa"/>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9360"/>
      </w:tblGrid>
      <w:tr w:rsidR="00443721" w:rsidTr="00761084">
        <w:trPr>
          <w:trHeight w:val="476"/>
        </w:trPr>
        <w:tc>
          <w:tcPr>
            <w:tcW w:w="9360" w:type="dxa"/>
          </w:tcPr>
          <w:p w:rsidR="00644FA2" w:rsidRPr="00BE4D73" w:rsidRDefault="00644FA2" w:rsidP="00644FA2">
            <w:pPr>
              <w:pStyle w:val="Noindent"/>
              <w:tabs>
                <w:tab w:val="clear" w:pos="426"/>
              </w:tabs>
              <w:jc w:val="center"/>
              <w:rPr>
                <w:b/>
                <w:sz w:val="14"/>
                <w:szCs w:val="24"/>
              </w:rPr>
            </w:pPr>
          </w:p>
          <w:p w:rsidR="0020757A" w:rsidRDefault="001B55B2" w:rsidP="00644FA2">
            <w:pPr>
              <w:pStyle w:val="Noindent"/>
              <w:tabs>
                <w:tab w:val="clear" w:pos="426"/>
              </w:tabs>
              <w:jc w:val="center"/>
              <w:rPr>
                <w:b/>
                <w:sz w:val="24"/>
                <w:szCs w:val="24"/>
              </w:rPr>
            </w:pPr>
            <w:r>
              <w:rPr>
                <w:b/>
                <w:sz w:val="24"/>
                <w:szCs w:val="24"/>
              </w:rPr>
              <w:t>Non-</w:t>
            </w:r>
            <w:r w:rsidR="003779C9">
              <w:rPr>
                <w:b/>
                <w:sz w:val="24"/>
                <w:szCs w:val="24"/>
              </w:rPr>
              <w:t>T</w:t>
            </w:r>
            <w:r>
              <w:rPr>
                <w:b/>
                <w:sz w:val="24"/>
                <w:szCs w:val="24"/>
              </w:rPr>
              <w:t xml:space="preserve">echnical </w:t>
            </w:r>
            <w:r w:rsidR="00443721" w:rsidRPr="006A7DE0">
              <w:rPr>
                <w:b/>
                <w:sz w:val="24"/>
                <w:szCs w:val="24"/>
              </w:rPr>
              <w:t>S</w:t>
            </w:r>
            <w:r>
              <w:rPr>
                <w:b/>
                <w:sz w:val="24"/>
                <w:szCs w:val="24"/>
              </w:rPr>
              <w:t>ummary</w:t>
            </w:r>
          </w:p>
          <w:p w:rsidR="00644FA2" w:rsidRPr="00BE4D73" w:rsidRDefault="00644FA2" w:rsidP="00644FA2">
            <w:pPr>
              <w:pStyle w:val="Noindent"/>
              <w:tabs>
                <w:tab w:val="clear" w:pos="426"/>
              </w:tabs>
              <w:jc w:val="center"/>
              <w:rPr>
                <w:b/>
                <w:color w:val="FF6600"/>
                <w:sz w:val="14"/>
                <w:szCs w:val="24"/>
              </w:rPr>
            </w:pPr>
          </w:p>
        </w:tc>
      </w:tr>
      <w:tr w:rsidR="004C1FCA" w:rsidTr="000C1677">
        <w:trPr>
          <w:trHeight w:val="4716"/>
        </w:trPr>
        <w:tc>
          <w:tcPr>
            <w:tcW w:w="9360" w:type="dxa"/>
            <w:shd w:val="clear" w:color="auto" w:fill="FFFFFF"/>
          </w:tcPr>
          <w:p w:rsidR="00644FA2" w:rsidRDefault="00644FA2" w:rsidP="003123E9">
            <w:pPr>
              <w:pStyle w:val="Noindent"/>
              <w:tabs>
                <w:tab w:val="clear" w:pos="426"/>
              </w:tabs>
              <w:rPr>
                <w:szCs w:val="24"/>
              </w:rPr>
            </w:pPr>
          </w:p>
          <w:p w:rsidR="00E100B3" w:rsidRDefault="00E100B3" w:rsidP="00E100B3">
            <w:pPr>
              <w:pStyle w:val="Noindent"/>
              <w:tabs>
                <w:tab w:val="clear" w:pos="426"/>
              </w:tabs>
              <w:spacing w:after="180" w:line="216" w:lineRule="auto"/>
              <w:jc w:val="left"/>
              <w:rPr>
                <w:szCs w:val="24"/>
              </w:rPr>
            </w:pPr>
            <w:r>
              <w:rPr>
                <w:szCs w:val="24"/>
              </w:rPr>
              <w:t xml:space="preserve">This report concludes that </w:t>
            </w:r>
            <w:r w:rsidR="00D35A45">
              <w:rPr>
                <w:rFonts w:ascii="Arial" w:hAnsi="Arial" w:cs="Arial"/>
                <w:color w:val="000000"/>
                <w:sz w:val="24"/>
                <w:szCs w:val="24"/>
              </w:rPr>
              <w:t xml:space="preserve">the </w:t>
            </w:r>
            <w:r w:rsidR="001C2441">
              <w:rPr>
                <w:rFonts w:ascii="Arial" w:hAnsi="Arial" w:cs="Arial"/>
                <w:color w:val="000000"/>
                <w:sz w:val="24"/>
                <w:szCs w:val="24"/>
              </w:rPr>
              <w:t>King</w:t>
            </w:r>
            <w:r w:rsidR="00A558E7">
              <w:rPr>
                <w:rFonts w:ascii="Arial" w:hAnsi="Arial" w:cs="Arial"/>
                <w:color w:val="000000"/>
                <w:sz w:val="24"/>
                <w:szCs w:val="24"/>
              </w:rPr>
              <w:t>’</w:t>
            </w:r>
            <w:r w:rsidR="001C2441">
              <w:rPr>
                <w:rFonts w:ascii="Arial" w:hAnsi="Arial" w:cs="Arial"/>
                <w:color w:val="000000"/>
                <w:sz w:val="24"/>
                <w:szCs w:val="24"/>
              </w:rPr>
              <w:t xml:space="preserve">s Lynn and West Norfolk Site Allocations and Development Management Policies Plan </w:t>
            </w:r>
            <w:proofErr w:type="gramStart"/>
            <w:r w:rsidR="00D35A45">
              <w:rPr>
                <w:rFonts w:ascii="Arial" w:hAnsi="Arial" w:cs="Arial"/>
                <w:color w:val="000000"/>
                <w:sz w:val="24"/>
                <w:szCs w:val="24"/>
              </w:rPr>
              <w:t>provides</w:t>
            </w:r>
            <w:proofErr w:type="gramEnd"/>
            <w:r w:rsidR="00D35A45">
              <w:rPr>
                <w:rFonts w:ascii="Arial" w:hAnsi="Arial" w:cs="Arial"/>
                <w:color w:val="000000"/>
                <w:sz w:val="24"/>
                <w:szCs w:val="24"/>
              </w:rPr>
              <w:t xml:space="preserve"> an appropriate basis for the planning of</w:t>
            </w:r>
            <w:r w:rsidR="001C2441">
              <w:rPr>
                <w:rFonts w:ascii="Arial" w:hAnsi="Arial" w:cs="Arial"/>
                <w:color w:val="000000"/>
                <w:sz w:val="24"/>
                <w:szCs w:val="24"/>
              </w:rPr>
              <w:t xml:space="preserve"> the Borough,</w:t>
            </w:r>
            <w:r w:rsidRPr="00BB1A5C">
              <w:rPr>
                <w:color w:val="8DB3E2"/>
                <w:szCs w:val="24"/>
              </w:rPr>
              <w:t xml:space="preserve"> </w:t>
            </w:r>
            <w:r>
              <w:rPr>
                <w:szCs w:val="24"/>
              </w:rPr>
              <w:t xml:space="preserve">providing a number of modifications are made to the </w:t>
            </w:r>
            <w:r w:rsidR="001C7FD9">
              <w:rPr>
                <w:szCs w:val="24"/>
              </w:rPr>
              <w:t>P</w:t>
            </w:r>
            <w:r>
              <w:rPr>
                <w:szCs w:val="24"/>
              </w:rPr>
              <w:t xml:space="preserve">lan. </w:t>
            </w:r>
            <w:r w:rsidR="001C2441">
              <w:rPr>
                <w:szCs w:val="24"/>
              </w:rPr>
              <w:t>King</w:t>
            </w:r>
            <w:r w:rsidR="00A558E7">
              <w:rPr>
                <w:szCs w:val="24"/>
              </w:rPr>
              <w:t>’</w:t>
            </w:r>
            <w:r w:rsidR="001C2441">
              <w:rPr>
                <w:szCs w:val="24"/>
              </w:rPr>
              <w:t>s Lynn and West Norfolk</w:t>
            </w:r>
            <w:r>
              <w:rPr>
                <w:szCs w:val="24"/>
              </w:rPr>
              <w:t xml:space="preserve"> </w:t>
            </w:r>
            <w:r w:rsidR="001C2441">
              <w:rPr>
                <w:szCs w:val="24"/>
              </w:rPr>
              <w:t>Borough</w:t>
            </w:r>
            <w:r w:rsidRPr="00BB1A5C">
              <w:rPr>
                <w:color w:val="8DB3E2"/>
                <w:szCs w:val="24"/>
              </w:rPr>
              <w:t xml:space="preserve"> </w:t>
            </w:r>
            <w:r>
              <w:rPr>
                <w:szCs w:val="24"/>
              </w:rPr>
              <w:t xml:space="preserve">Council has specifically requested me to recommend any modifications necessary to enable the </w:t>
            </w:r>
            <w:r w:rsidR="001C7FD9">
              <w:rPr>
                <w:szCs w:val="24"/>
              </w:rPr>
              <w:t>P</w:t>
            </w:r>
            <w:r>
              <w:rPr>
                <w:szCs w:val="24"/>
              </w:rPr>
              <w:t>lan to be adopted.</w:t>
            </w:r>
            <w:r w:rsidR="0008457F">
              <w:rPr>
                <w:szCs w:val="24"/>
              </w:rPr>
              <w:t xml:space="preserve"> </w:t>
            </w:r>
            <w:r>
              <w:rPr>
                <w:szCs w:val="24"/>
              </w:rPr>
              <w:t xml:space="preserve">I have recommended their inclusion after considering the representations from other parties on the issues.  </w:t>
            </w:r>
          </w:p>
          <w:p w:rsidR="008247EF" w:rsidRPr="00BB1A5C" w:rsidRDefault="00E100B3" w:rsidP="001B09C9">
            <w:pPr>
              <w:pStyle w:val="Noindent"/>
              <w:tabs>
                <w:tab w:val="clear" w:pos="426"/>
              </w:tabs>
              <w:spacing w:after="80" w:line="216" w:lineRule="auto"/>
              <w:jc w:val="left"/>
              <w:rPr>
                <w:b/>
                <w:color w:val="548DD4"/>
                <w:szCs w:val="24"/>
              </w:rPr>
            </w:pPr>
            <w:r>
              <w:rPr>
                <w:szCs w:val="24"/>
              </w:rPr>
              <w:t>The Main Modifications can be summarised as follows:</w:t>
            </w:r>
          </w:p>
          <w:p w:rsidR="00517954" w:rsidRPr="00BB1A5C" w:rsidRDefault="001B09C9" w:rsidP="00517954">
            <w:pPr>
              <w:pStyle w:val="Noindent"/>
              <w:numPr>
                <w:ilvl w:val="0"/>
                <w:numId w:val="7"/>
              </w:numPr>
              <w:tabs>
                <w:tab w:val="clear" w:pos="426"/>
              </w:tabs>
              <w:rPr>
                <w:b/>
                <w:color w:val="548DD4"/>
                <w:szCs w:val="24"/>
              </w:rPr>
            </w:pPr>
            <w:r w:rsidRPr="001B09C9">
              <w:rPr>
                <w:szCs w:val="24"/>
              </w:rPr>
              <w:t>The confirmation of a commitment to an early review of the local plan;</w:t>
            </w:r>
            <w:r w:rsidR="002D4C07" w:rsidRPr="00BB1A5C">
              <w:rPr>
                <w:color w:val="548DD4"/>
                <w:szCs w:val="24"/>
              </w:rPr>
              <w:t xml:space="preserve">  </w:t>
            </w:r>
          </w:p>
          <w:p w:rsidR="001B09C9" w:rsidRPr="001B09C9" w:rsidRDefault="001B09C9" w:rsidP="00517954">
            <w:pPr>
              <w:pStyle w:val="Noindent"/>
              <w:numPr>
                <w:ilvl w:val="0"/>
                <w:numId w:val="7"/>
              </w:numPr>
              <w:tabs>
                <w:tab w:val="clear" w:pos="426"/>
              </w:tabs>
              <w:rPr>
                <w:b/>
                <w:color w:val="548DD4"/>
                <w:szCs w:val="24"/>
              </w:rPr>
            </w:pPr>
            <w:r>
              <w:rPr>
                <w:szCs w:val="24"/>
              </w:rPr>
              <w:t>The introduction of greater flexibility in the housing allocations policies;</w:t>
            </w:r>
          </w:p>
          <w:p w:rsidR="001B09C9" w:rsidRPr="001B09C9" w:rsidRDefault="001B09C9" w:rsidP="0052663C">
            <w:pPr>
              <w:pStyle w:val="Noindent"/>
              <w:numPr>
                <w:ilvl w:val="0"/>
                <w:numId w:val="7"/>
              </w:numPr>
              <w:tabs>
                <w:tab w:val="clear" w:pos="426"/>
              </w:tabs>
              <w:jc w:val="left"/>
              <w:rPr>
                <w:b/>
                <w:color w:val="548DD4"/>
                <w:szCs w:val="24"/>
              </w:rPr>
            </w:pPr>
            <w:r>
              <w:rPr>
                <w:szCs w:val="24"/>
              </w:rPr>
              <w:t>Clarification of the Council’s approach to development boundaries</w:t>
            </w:r>
            <w:r w:rsidR="0052663C">
              <w:rPr>
                <w:szCs w:val="24"/>
              </w:rPr>
              <w:t xml:space="preserve"> </w:t>
            </w:r>
            <w:r>
              <w:rPr>
                <w:szCs w:val="24"/>
              </w:rPr>
              <w:t>and development in smaller villages and hamlets;</w:t>
            </w:r>
          </w:p>
          <w:p w:rsidR="001B09C9" w:rsidRPr="001B09C9" w:rsidRDefault="001B09C9" w:rsidP="00517954">
            <w:pPr>
              <w:pStyle w:val="Noindent"/>
              <w:numPr>
                <w:ilvl w:val="0"/>
                <w:numId w:val="7"/>
              </w:numPr>
              <w:tabs>
                <w:tab w:val="clear" w:pos="426"/>
              </w:tabs>
              <w:rPr>
                <w:b/>
                <w:color w:val="548DD4"/>
                <w:szCs w:val="24"/>
              </w:rPr>
            </w:pPr>
            <w:r>
              <w:rPr>
                <w:szCs w:val="24"/>
              </w:rPr>
              <w:t xml:space="preserve">Clarification of the Council’s approach to the retention of community facilities; proposals for holiday accommodation; the strategic road network; railway trackways; densities and brownfield development; and development at CITB </w:t>
            </w:r>
            <w:proofErr w:type="spellStart"/>
            <w:r>
              <w:rPr>
                <w:szCs w:val="24"/>
              </w:rPr>
              <w:t>Bircham</w:t>
            </w:r>
            <w:proofErr w:type="spellEnd"/>
            <w:r>
              <w:rPr>
                <w:szCs w:val="24"/>
              </w:rPr>
              <w:t xml:space="preserve"> Newton and RAF </w:t>
            </w:r>
            <w:proofErr w:type="spellStart"/>
            <w:r>
              <w:rPr>
                <w:szCs w:val="24"/>
              </w:rPr>
              <w:t>Marham</w:t>
            </w:r>
            <w:proofErr w:type="spellEnd"/>
            <w:r>
              <w:rPr>
                <w:szCs w:val="24"/>
              </w:rPr>
              <w:t>;</w:t>
            </w:r>
          </w:p>
          <w:p w:rsidR="001B09C9" w:rsidRPr="001B09C9" w:rsidRDefault="001B09C9" w:rsidP="00517954">
            <w:pPr>
              <w:pStyle w:val="Noindent"/>
              <w:numPr>
                <w:ilvl w:val="0"/>
                <w:numId w:val="7"/>
              </w:numPr>
              <w:tabs>
                <w:tab w:val="clear" w:pos="426"/>
              </w:tabs>
              <w:rPr>
                <w:b/>
                <w:color w:val="548DD4"/>
                <w:szCs w:val="24"/>
              </w:rPr>
            </w:pPr>
            <w:r>
              <w:rPr>
                <w:szCs w:val="24"/>
              </w:rPr>
              <w:t>Reference to a Monitoring and Mitigation Strategy (in relation to the Habitats Regulations Assessment);</w:t>
            </w:r>
          </w:p>
          <w:p w:rsidR="001B09C9" w:rsidRPr="001B09C9" w:rsidRDefault="001B09C9" w:rsidP="00517954">
            <w:pPr>
              <w:pStyle w:val="Noindent"/>
              <w:numPr>
                <w:ilvl w:val="0"/>
                <w:numId w:val="7"/>
              </w:numPr>
              <w:tabs>
                <w:tab w:val="clear" w:pos="426"/>
              </w:tabs>
              <w:rPr>
                <w:b/>
                <w:color w:val="548DD4"/>
                <w:szCs w:val="24"/>
              </w:rPr>
            </w:pPr>
            <w:r>
              <w:rPr>
                <w:szCs w:val="24"/>
              </w:rPr>
              <w:t>Clarification of the Council’s approach to wind energy and flood risk;</w:t>
            </w:r>
          </w:p>
          <w:p w:rsidR="001B09C9" w:rsidRPr="001B09C9" w:rsidRDefault="001B09C9" w:rsidP="00517954">
            <w:pPr>
              <w:pStyle w:val="Noindent"/>
              <w:numPr>
                <w:ilvl w:val="0"/>
                <w:numId w:val="7"/>
              </w:numPr>
              <w:tabs>
                <w:tab w:val="clear" w:pos="426"/>
              </w:tabs>
              <w:rPr>
                <w:b/>
                <w:color w:val="548DD4"/>
                <w:szCs w:val="24"/>
              </w:rPr>
            </w:pPr>
            <w:r>
              <w:rPr>
                <w:szCs w:val="24"/>
              </w:rPr>
              <w:t>A new policy on King’s Lynn port;</w:t>
            </w:r>
          </w:p>
          <w:p w:rsidR="001B09C9" w:rsidRPr="001B09C9" w:rsidRDefault="001B09C9" w:rsidP="00517954">
            <w:pPr>
              <w:pStyle w:val="Noindent"/>
              <w:numPr>
                <w:ilvl w:val="0"/>
                <w:numId w:val="7"/>
              </w:numPr>
              <w:tabs>
                <w:tab w:val="clear" w:pos="426"/>
              </w:tabs>
              <w:rPr>
                <w:b/>
                <w:color w:val="548DD4"/>
                <w:szCs w:val="24"/>
              </w:rPr>
            </w:pPr>
            <w:r>
              <w:rPr>
                <w:szCs w:val="24"/>
              </w:rPr>
              <w:t>A reduction in housing numbers at Bankside, West Lynn;</w:t>
            </w:r>
          </w:p>
          <w:p w:rsidR="001B09C9" w:rsidRPr="001B09C9" w:rsidRDefault="001B09C9" w:rsidP="00517954">
            <w:pPr>
              <w:pStyle w:val="Noindent"/>
              <w:numPr>
                <w:ilvl w:val="0"/>
                <w:numId w:val="7"/>
              </w:numPr>
              <w:tabs>
                <w:tab w:val="clear" w:pos="426"/>
              </w:tabs>
              <w:rPr>
                <w:b/>
                <w:color w:val="548DD4"/>
                <w:szCs w:val="24"/>
              </w:rPr>
            </w:pPr>
            <w:r>
              <w:rPr>
                <w:szCs w:val="24"/>
              </w:rPr>
              <w:t xml:space="preserve">The inclusion of </w:t>
            </w:r>
            <w:r w:rsidR="0008457F">
              <w:rPr>
                <w:szCs w:val="24"/>
              </w:rPr>
              <w:t>land</w:t>
            </w:r>
            <w:r>
              <w:rPr>
                <w:szCs w:val="24"/>
              </w:rPr>
              <w:t xml:space="preserve"> at Gravel Hill Lane </w:t>
            </w:r>
            <w:r w:rsidR="0008457F">
              <w:rPr>
                <w:szCs w:val="24"/>
              </w:rPr>
              <w:t>in</w:t>
            </w:r>
            <w:r>
              <w:rPr>
                <w:szCs w:val="24"/>
              </w:rPr>
              <w:t xml:space="preserve">to the West Winch </w:t>
            </w:r>
            <w:r w:rsidR="00FC59C7">
              <w:rPr>
                <w:szCs w:val="24"/>
              </w:rPr>
              <w:t>Growth</w:t>
            </w:r>
            <w:r>
              <w:rPr>
                <w:szCs w:val="24"/>
              </w:rPr>
              <w:t xml:space="preserve"> Area;</w:t>
            </w:r>
          </w:p>
          <w:p w:rsidR="001B09C9" w:rsidRPr="001B09C9" w:rsidRDefault="001B09C9" w:rsidP="00517954">
            <w:pPr>
              <w:pStyle w:val="Noindent"/>
              <w:numPr>
                <w:ilvl w:val="0"/>
                <w:numId w:val="7"/>
              </w:numPr>
              <w:tabs>
                <w:tab w:val="clear" w:pos="426"/>
              </w:tabs>
              <w:rPr>
                <w:b/>
                <w:color w:val="548DD4"/>
                <w:szCs w:val="24"/>
              </w:rPr>
            </w:pPr>
            <w:r>
              <w:rPr>
                <w:szCs w:val="24"/>
              </w:rPr>
              <w:t>Clarification of the approach to development in the existing built-up areas of West Winch;</w:t>
            </w:r>
          </w:p>
          <w:p w:rsidR="001B09C9" w:rsidRPr="00C147A0" w:rsidRDefault="00C147A0" w:rsidP="00517954">
            <w:pPr>
              <w:pStyle w:val="Noindent"/>
              <w:numPr>
                <w:ilvl w:val="0"/>
                <w:numId w:val="7"/>
              </w:numPr>
              <w:tabs>
                <w:tab w:val="clear" w:pos="426"/>
              </w:tabs>
              <w:rPr>
                <w:b/>
                <w:color w:val="548DD4"/>
                <w:szCs w:val="24"/>
              </w:rPr>
            </w:pPr>
            <w:r>
              <w:rPr>
                <w:szCs w:val="24"/>
              </w:rPr>
              <w:t xml:space="preserve">Clarification of the approach to development at Knights Hill; land off St John’s Way, </w:t>
            </w:r>
            <w:proofErr w:type="spellStart"/>
            <w:r>
              <w:rPr>
                <w:szCs w:val="24"/>
              </w:rPr>
              <w:t>Downham</w:t>
            </w:r>
            <w:proofErr w:type="spellEnd"/>
            <w:r>
              <w:rPr>
                <w:szCs w:val="24"/>
              </w:rPr>
              <w:t xml:space="preserve"> Market; and at </w:t>
            </w:r>
            <w:proofErr w:type="spellStart"/>
            <w:r>
              <w:rPr>
                <w:szCs w:val="24"/>
              </w:rPr>
              <w:t>Wisbech</w:t>
            </w:r>
            <w:proofErr w:type="spellEnd"/>
            <w:r>
              <w:rPr>
                <w:szCs w:val="24"/>
              </w:rPr>
              <w:t xml:space="preserve"> fringe;</w:t>
            </w:r>
          </w:p>
          <w:p w:rsidR="00C147A0" w:rsidRPr="00C147A0" w:rsidRDefault="00DC5971" w:rsidP="00517954">
            <w:pPr>
              <w:pStyle w:val="Noindent"/>
              <w:numPr>
                <w:ilvl w:val="0"/>
                <w:numId w:val="7"/>
              </w:numPr>
              <w:tabs>
                <w:tab w:val="clear" w:pos="426"/>
              </w:tabs>
              <w:rPr>
                <w:b/>
                <w:color w:val="548DD4"/>
                <w:szCs w:val="24"/>
              </w:rPr>
            </w:pPr>
            <w:r>
              <w:rPr>
                <w:szCs w:val="24"/>
              </w:rPr>
              <w:t>A new housing a</w:t>
            </w:r>
            <w:r w:rsidR="00C147A0">
              <w:rPr>
                <w:szCs w:val="24"/>
              </w:rPr>
              <w:t>llocation at Denver;</w:t>
            </w:r>
          </w:p>
          <w:p w:rsidR="00C147A0" w:rsidRPr="00C147A0" w:rsidRDefault="00C147A0" w:rsidP="00517954">
            <w:pPr>
              <w:pStyle w:val="Noindent"/>
              <w:numPr>
                <w:ilvl w:val="0"/>
                <w:numId w:val="7"/>
              </w:numPr>
              <w:tabs>
                <w:tab w:val="clear" w:pos="426"/>
              </w:tabs>
              <w:rPr>
                <w:b/>
                <w:color w:val="548DD4"/>
                <w:szCs w:val="24"/>
              </w:rPr>
            </w:pPr>
            <w:r>
              <w:rPr>
                <w:szCs w:val="24"/>
              </w:rPr>
              <w:t xml:space="preserve">An increased </w:t>
            </w:r>
            <w:r w:rsidR="0008457F">
              <w:rPr>
                <w:szCs w:val="24"/>
              </w:rPr>
              <w:t xml:space="preserve">housing </w:t>
            </w:r>
            <w:r>
              <w:rPr>
                <w:szCs w:val="24"/>
              </w:rPr>
              <w:t xml:space="preserve">allocation to the rear of Chocolate Cottage, </w:t>
            </w:r>
            <w:proofErr w:type="spellStart"/>
            <w:r>
              <w:rPr>
                <w:szCs w:val="24"/>
              </w:rPr>
              <w:t>Feltwell</w:t>
            </w:r>
            <w:proofErr w:type="spellEnd"/>
            <w:r>
              <w:rPr>
                <w:szCs w:val="24"/>
              </w:rPr>
              <w:t>;</w:t>
            </w:r>
          </w:p>
          <w:p w:rsidR="00C147A0" w:rsidRPr="00C147A0" w:rsidRDefault="00C147A0" w:rsidP="00517954">
            <w:pPr>
              <w:pStyle w:val="Noindent"/>
              <w:numPr>
                <w:ilvl w:val="0"/>
                <w:numId w:val="7"/>
              </w:numPr>
              <w:tabs>
                <w:tab w:val="clear" w:pos="426"/>
              </w:tabs>
              <w:rPr>
                <w:b/>
                <w:color w:val="548DD4"/>
                <w:szCs w:val="24"/>
              </w:rPr>
            </w:pPr>
            <w:r>
              <w:rPr>
                <w:szCs w:val="24"/>
              </w:rPr>
              <w:t>A new housing allocation north of St Johns Road, Tilney St Lawrence;</w:t>
            </w:r>
          </w:p>
          <w:p w:rsidR="00C147A0" w:rsidRPr="00C147A0" w:rsidRDefault="00C147A0" w:rsidP="00517954">
            <w:pPr>
              <w:pStyle w:val="Noindent"/>
              <w:numPr>
                <w:ilvl w:val="0"/>
                <w:numId w:val="7"/>
              </w:numPr>
              <w:tabs>
                <w:tab w:val="clear" w:pos="426"/>
              </w:tabs>
              <w:rPr>
                <w:b/>
                <w:color w:val="548DD4"/>
                <w:szCs w:val="24"/>
              </w:rPr>
            </w:pPr>
            <w:r>
              <w:rPr>
                <w:szCs w:val="24"/>
              </w:rPr>
              <w:t xml:space="preserve">A reduced housing allocation to the north-west of </w:t>
            </w:r>
            <w:proofErr w:type="spellStart"/>
            <w:r>
              <w:rPr>
                <w:szCs w:val="24"/>
              </w:rPr>
              <w:t>Townley</w:t>
            </w:r>
            <w:proofErr w:type="spellEnd"/>
            <w:r>
              <w:rPr>
                <w:szCs w:val="24"/>
              </w:rPr>
              <w:t xml:space="preserve"> Close, Upwell;</w:t>
            </w:r>
          </w:p>
          <w:p w:rsidR="00C147A0" w:rsidRPr="00C147A0" w:rsidRDefault="0008457F" w:rsidP="00517954">
            <w:pPr>
              <w:pStyle w:val="Noindent"/>
              <w:numPr>
                <w:ilvl w:val="0"/>
                <w:numId w:val="7"/>
              </w:numPr>
              <w:tabs>
                <w:tab w:val="clear" w:pos="426"/>
              </w:tabs>
              <w:rPr>
                <w:b/>
                <w:color w:val="548DD4"/>
                <w:szCs w:val="24"/>
              </w:rPr>
            </w:pPr>
            <w:r>
              <w:rPr>
                <w:szCs w:val="24"/>
              </w:rPr>
              <w:t xml:space="preserve">The replacement of the </w:t>
            </w:r>
            <w:r w:rsidR="00C147A0">
              <w:rPr>
                <w:szCs w:val="24"/>
              </w:rPr>
              <w:t xml:space="preserve">allocation at </w:t>
            </w:r>
            <w:r w:rsidR="00FC59C7">
              <w:rPr>
                <w:szCs w:val="24"/>
              </w:rPr>
              <w:t xml:space="preserve">The </w:t>
            </w:r>
            <w:r w:rsidR="00C147A0">
              <w:rPr>
                <w:szCs w:val="24"/>
              </w:rPr>
              <w:t xml:space="preserve">Springs </w:t>
            </w:r>
            <w:proofErr w:type="spellStart"/>
            <w:r w:rsidR="00C147A0">
              <w:rPr>
                <w:szCs w:val="24"/>
              </w:rPr>
              <w:t>Flegg</w:t>
            </w:r>
            <w:proofErr w:type="spellEnd"/>
            <w:r w:rsidR="00C147A0">
              <w:rPr>
                <w:szCs w:val="24"/>
              </w:rPr>
              <w:t xml:space="preserve"> Green, </w:t>
            </w:r>
            <w:proofErr w:type="spellStart"/>
            <w:r w:rsidR="00C147A0">
              <w:rPr>
                <w:szCs w:val="24"/>
              </w:rPr>
              <w:t>Wereham</w:t>
            </w:r>
            <w:proofErr w:type="spellEnd"/>
            <w:r w:rsidR="00C147A0">
              <w:rPr>
                <w:szCs w:val="24"/>
              </w:rPr>
              <w:t xml:space="preserve">, </w:t>
            </w:r>
            <w:r>
              <w:rPr>
                <w:szCs w:val="24"/>
              </w:rPr>
              <w:t>by</w:t>
            </w:r>
            <w:r w:rsidR="00C147A0">
              <w:rPr>
                <w:szCs w:val="24"/>
              </w:rPr>
              <w:t xml:space="preserve"> one to the rear of </w:t>
            </w:r>
            <w:proofErr w:type="spellStart"/>
            <w:r w:rsidR="00C147A0">
              <w:rPr>
                <w:szCs w:val="24"/>
              </w:rPr>
              <w:t>Natanya</w:t>
            </w:r>
            <w:proofErr w:type="spellEnd"/>
            <w:r w:rsidR="00C147A0">
              <w:rPr>
                <w:szCs w:val="24"/>
              </w:rPr>
              <w:t xml:space="preserve"> Hollies Farm; and </w:t>
            </w:r>
          </w:p>
          <w:p w:rsidR="001B55B2" w:rsidRPr="00C147A0" w:rsidRDefault="00C147A0" w:rsidP="00644FA2">
            <w:pPr>
              <w:pStyle w:val="Noindent"/>
              <w:numPr>
                <w:ilvl w:val="0"/>
                <w:numId w:val="7"/>
              </w:numPr>
              <w:tabs>
                <w:tab w:val="clear" w:pos="426"/>
              </w:tabs>
              <w:rPr>
                <w:b/>
                <w:szCs w:val="24"/>
              </w:rPr>
            </w:pPr>
            <w:r w:rsidRPr="00C147A0">
              <w:rPr>
                <w:szCs w:val="24"/>
              </w:rPr>
              <w:t xml:space="preserve">A new housing allocation at </w:t>
            </w:r>
            <w:proofErr w:type="spellStart"/>
            <w:r w:rsidRPr="00C147A0">
              <w:rPr>
                <w:szCs w:val="24"/>
              </w:rPr>
              <w:t>Wiggenhall</w:t>
            </w:r>
            <w:proofErr w:type="spellEnd"/>
            <w:r w:rsidRPr="00C147A0">
              <w:rPr>
                <w:szCs w:val="24"/>
              </w:rPr>
              <w:t xml:space="preserve"> St Germans.</w:t>
            </w:r>
          </w:p>
          <w:p w:rsidR="00D434D0" w:rsidRPr="00517954" w:rsidRDefault="00D434D0" w:rsidP="00D434D0">
            <w:pPr>
              <w:pStyle w:val="Noindent"/>
              <w:tabs>
                <w:tab w:val="clear" w:pos="426"/>
              </w:tabs>
              <w:rPr>
                <w:szCs w:val="24"/>
              </w:rPr>
            </w:pPr>
          </w:p>
        </w:tc>
      </w:tr>
    </w:tbl>
    <w:p w:rsidR="00443721" w:rsidRDefault="00443721" w:rsidP="00443721">
      <w:pPr>
        <w:pStyle w:val="Noindent"/>
        <w:tabs>
          <w:tab w:val="clear" w:pos="426"/>
        </w:tabs>
        <w:jc w:val="left"/>
      </w:pPr>
    </w:p>
    <w:p w:rsidR="00167F95" w:rsidRDefault="00167F95" w:rsidP="00443721">
      <w:pPr>
        <w:pStyle w:val="Noindent"/>
        <w:tabs>
          <w:tab w:val="clear" w:pos="426"/>
        </w:tabs>
        <w:jc w:val="left"/>
      </w:pPr>
    </w:p>
    <w:p w:rsidR="00167F95" w:rsidRDefault="00167F95" w:rsidP="00443721">
      <w:pPr>
        <w:pStyle w:val="Noindent"/>
        <w:tabs>
          <w:tab w:val="clear" w:pos="426"/>
        </w:tabs>
        <w:jc w:val="left"/>
      </w:pPr>
    </w:p>
    <w:p w:rsidR="004C1FCA" w:rsidRPr="00443721" w:rsidRDefault="00644FA2" w:rsidP="00443721">
      <w:pPr>
        <w:pStyle w:val="Noindent"/>
        <w:tabs>
          <w:tab w:val="clear" w:pos="426"/>
        </w:tabs>
        <w:jc w:val="left"/>
      </w:pPr>
      <w:r>
        <w:br w:type="page"/>
      </w:r>
    </w:p>
    <w:p w:rsidR="002E0407" w:rsidRPr="002E0407" w:rsidRDefault="00290230" w:rsidP="00663F5A">
      <w:pPr>
        <w:pStyle w:val="DPDReportMainHeading"/>
      </w:pPr>
      <w:r>
        <w:lastRenderedPageBreak/>
        <w:t xml:space="preserve">Introduction </w:t>
      </w:r>
    </w:p>
    <w:p w:rsidR="009C2374" w:rsidRPr="00030944" w:rsidRDefault="001453B0" w:rsidP="00AB21B4">
      <w:pPr>
        <w:pStyle w:val="DPDIntro"/>
        <w:numPr>
          <w:ilvl w:val="0"/>
          <w:numId w:val="13"/>
        </w:numPr>
        <w:rPr>
          <w:b w:val="0"/>
        </w:rPr>
      </w:pPr>
      <w:r w:rsidRPr="00030944">
        <w:rPr>
          <w:b w:val="0"/>
        </w:rPr>
        <w:t xml:space="preserve">This report contains my assessment of the </w:t>
      </w:r>
      <w:r w:rsidR="001C2441" w:rsidRPr="001C2441">
        <w:rPr>
          <w:b w:val="0"/>
        </w:rPr>
        <w:t>King</w:t>
      </w:r>
      <w:r w:rsidR="00A558E7">
        <w:rPr>
          <w:b w:val="0"/>
        </w:rPr>
        <w:t>’</w:t>
      </w:r>
      <w:r w:rsidR="001C2441" w:rsidRPr="001C2441">
        <w:rPr>
          <w:b w:val="0"/>
        </w:rPr>
        <w:t>s Lynn and West Norfolk Site Allocations and Development Management Policies Plan</w:t>
      </w:r>
      <w:r w:rsidR="001C2441">
        <w:rPr>
          <w:b w:val="0"/>
        </w:rPr>
        <w:t xml:space="preserve"> (SA</w:t>
      </w:r>
      <w:r w:rsidR="001C7FD9">
        <w:rPr>
          <w:b w:val="0"/>
        </w:rPr>
        <w:t>DMP</w:t>
      </w:r>
      <w:r w:rsidR="001C2441">
        <w:rPr>
          <w:b w:val="0"/>
        </w:rPr>
        <w:t>P)</w:t>
      </w:r>
      <w:r w:rsidRPr="00030944">
        <w:rPr>
          <w:b w:val="0"/>
        </w:rPr>
        <w:t xml:space="preserve"> in terms of </w:t>
      </w:r>
      <w:r w:rsidR="000E7E77" w:rsidRPr="00030944">
        <w:rPr>
          <w:b w:val="0"/>
        </w:rPr>
        <w:t>Section 20(5) of the Planning &amp; Compulsory Purchase Act 2004</w:t>
      </w:r>
      <w:r w:rsidR="004C763A">
        <w:rPr>
          <w:b w:val="0"/>
        </w:rPr>
        <w:t xml:space="preserve"> (as amended)</w:t>
      </w:r>
      <w:r w:rsidR="000E7E77" w:rsidRPr="00030944">
        <w:rPr>
          <w:b w:val="0"/>
        </w:rPr>
        <w:t xml:space="preserve">.  </w:t>
      </w:r>
      <w:r w:rsidR="006A7DE0" w:rsidRPr="00030944">
        <w:rPr>
          <w:b w:val="0"/>
        </w:rPr>
        <w:t xml:space="preserve">It </w:t>
      </w:r>
      <w:r w:rsidR="00A86EC1">
        <w:rPr>
          <w:b w:val="0"/>
        </w:rPr>
        <w:t xml:space="preserve">considers first whether </w:t>
      </w:r>
      <w:r w:rsidR="00BF6B27">
        <w:rPr>
          <w:b w:val="0"/>
        </w:rPr>
        <w:t>the</w:t>
      </w:r>
      <w:r w:rsidR="00633A61">
        <w:rPr>
          <w:b w:val="0"/>
        </w:rPr>
        <w:t xml:space="preserve"> </w:t>
      </w:r>
      <w:r w:rsidR="00DE4ACA">
        <w:rPr>
          <w:b w:val="0"/>
        </w:rPr>
        <w:t>P</w:t>
      </w:r>
      <w:r w:rsidR="00633A61">
        <w:rPr>
          <w:b w:val="0"/>
        </w:rPr>
        <w:t>lan</w:t>
      </w:r>
      <w:r w:rsidR="00DE4ACA">
        <w:rPr>
          <w:b w:val="0"/>
        </w:rPr>
        <w:t>’s preparation</w:t>
      </w:r>
      <w:r w:rsidR="00BF6B27">
        <w:rPr>
          <w:b w:val="0"/>
        </w:rPr>
        <w:t xml:space="preserve"> has complied with </w:t>
      </w:r>
      <w:r w:rsidR="00A86EC1">
        <w:rPr>
          <w:b w:val="0"/>
        </w:rPr>
        <w:t>the duty to co-operate, in recognition</w:t>
      </w:r>
      <w:r w:rsidR="00A14F07">
        <w:rPr>
          <w:b w:val="0"/>
        </w:rPr>
        <w:t xml:space="preserve"> </w:t>
      </w:r>
      <w:r w:rsidR="00A86EC1">
        <w:rPr>
          <w:b w:val="0"/>
        </w:rPr>
        <w:t>that there is no scope to rem</w:t>
      </w:r>
      <w:r w:rsidR="00A14F07">
        <w:rPr>
          <w:b w:val="0"/>
        </w:rPr>
        <w:t>e</w:t>
      </w:r>
      <w:r w:rsidR="00A86EC1">
        <w:rPr>
          <w:b w:val="0"/>
        </w:rPr>
        <w:t xml:space="preserve">dy any </w:t>
      </w:r>
      <w:r w:rsidR="00A14F07">
        <w:rPr>
          <w:b w:val="0"/>
        </w:rPr>
        <w:t>failure in this regard</w:t>
      </w:r>
      <w:r w:rsidR="00A86EC1">
        <w:rPr>
          <w:b w:val="0"/>
        </w:rPr>
        <w:t xml:space="preserve">. </w:t>
      </w:r>
      <w:r w:rsidR="00BF6B27">
        <w:rPr>
          <w:b w:val="0"/>
        </w:rPr>
        <w:t xml:space="preserve"> </w:t>
      </w:r>
      <w:r w:rsidR="00A86EC1">
        <w:rPr>
          <w:b w:val="0"/>
        </w:rPr>
        <w:t xml:space="preserve">It then </w:t>
      </w:r>
      <w:r w:rsidR="006D7CF6">
        <w:rPr>
          <w:b w:val="0"/>
        </w:rPr>
        <w:t>considers whether</w:t>
      </w:r>
      <w:r w:rsidR="006A7DE0" w:rsidRPr="00030944">
        <w:rPr>
          <w:b w:val="0"/>
        </w:rPr>
        <w:t xml:space="preserve"> the </w:t>
      </w:r>
      <w:r w:rsidR="00DE4ACA">
        <w:rPr>
          <w:b w:val="0"/>
        </w:rPr>
        <w:t>P</w:t>
      </w:r>
      <w:r w:rsidR="00633A61">
        <w:rPr>
          <w:b w:val="0"/>
        </w:rPr>
        <w:t xml:space="preserve">lan </w:t>
      </w:r>
      <w:r w:rsidR="006A7DE0" w:rsidRPr="00030944">
        <w:rPr>
          <w:b w:val="0"/>
        </w:rPr>
        <w:t xml:space="preserve">is </w:t>
      </w:r>
      <w:r w:rsidR="00617405" w:rsidRPr="00030944">
        <w:rPr>
          <w:b w:val="0"/>
        </w:rPr>
        <w:t>sound</w:t>
      </w:r>
      <w:r w:rsidR="004C763A">
        <w:rPr>
          <w:b w:val="0"/>
        </w:rPr>
        <w:t xml:space="preserve"> </w:t>
      </w:r>
      <w:r w:rsidR="00617405">
        <w:rPr>
          <w:b w:val="0"/>
        </w:rPr>
        <w:t xml:space="preserve">and </w:t>
      </w:r>
      <w:r w:rsidR="006A7DE0" w:rsidRPr="00030944">
        <w:rPr>
          <w:b w:val="0"/>
        </w:rPr>
        <w:t xml:space="preserve">whether it </w:t>
      </w:r>
      <w:r w:rsidR="009C2374" w:rsidRPr="00030944">
        <w:rPr>
          <w:b w:val="0"/>
        </w:rPr>
        <w:t xml:space="preserve">is </w:t>
      </w:r>
      <w:r w:rsidR="00617405" w:rsidRPr="00030944">
        <w:rPr>
          <w:b w:val="0"/>
        </w:rPr>
        <w:t xml:space="preserve">compliant </w:t>
      </w:r>
      <w:r w:rsidR="00FA0B0B">
        <w:rPr>
          <w:b w:val="0"/>
        </w:rPr>
        <w:t>with the</w:t>
      </w:r>
      <w:r w:rsidR="00FA0B0B" w:rsidRPr="00030944">
        <w:rPr>
          <w:b w:val="0"/>
        </w:rPr>
        <w:t xml:space="preserve"> </w:t>
      </w:r>
      <w:r w:rsidR="00617405" w:rsidRPr="00030944">
        <w:rPr>
          <w:b w:val="0"/>
        </w:rPr>
        <w:t xml:space="preserve">legal </w:t>
      </w:r>
      <w:r w:rsidR="00FA0B0B">
        <w:rPr>
          <w:b w:val="0"/>
        </w:rPr>
        <w:t>requirements</w:t>
      </w:r>
      <w:r w:rsidR="00617405">
        <w:rPr>
          <w:b w:val="0"/>
        </w:rPr>
        <w:t xml:space="preserve">. </w:t>
      </w:r>
      <w:r w:rsidR="00617405" w:rsidRPr="00030944" w:rsidDel="00617405">
        <w:rPr>
          <w:b w:val="0"/>
        </w:rPr>
        <w:t xml:space="preserve"> </w:t>
      </w:r>
      <w:r w:rsidR="00633A61">
        <w:rPr>
          <w:b w:val="0"/>
        </w:rPr>
        <w:t>The National Planning Policy Framework (</w:t>
      </w:r>
      <w:r w:rsidR="00DC5971">
        <w:rPr>
          <w:b w:val="0"/>
        </w:rPr>
        <w:t xml:space="preserve">NPPF </w:t>
      </w:r>
      <w:r w:rsidR="00633A61">
        <w:rPr>
          <w:b w:val="0"/>
        </w:rPr>
        <w:t>paragraph 182)</w:t>
      </w:r>
      <w:r w:rsidR="009C2374" w:rsidRPr="00030944">
        <w:rPr>
          <w:b w:val="0"/>
        </w:rPr>
        <w:t xml:space="preserve"> makes clear that to be </w:t>
      </w:r>
      <w:proofErr w:type="gramStart"/>
      <w:r w:rsidR="009C2374" w:rsidRPr="00030944">
        <w:rPr>
          <w:b w:val="0"/>
        </w:rPr>
        <w:t>sound,</w:t>
      </w:r>
      <w:proofErr w:type="gramEnd"/>
      <w:r w:rsidR="009C2374" w:rsidRPr="00030944">
        <w:rPr>
          <w:b w:val="0"/>
        </w:rPr>
        <w:t xml:space="preserve"> a </w:t>
      </w:r>
      <w:r w:rsidR="00DE4ACA">
        <w:rPr>
          <w:b w:val="0"/>
        </w:rPr>
        <w:t>L</w:t>
      </w:r>
      <w:r w:rsidR="00633A61">
        <w:rPr>
          <w:b w:val="0"/>
        </w:rPr>
        <w:t xml:space="preserve">ocal </w:t>
      </w:r>
      <w:r w:rsidR="00DE4ACA">
        <w:rPr>
          <w:b w:val="0"/>
        </w:rPr>
        <w:t>P</w:t>
      </w:r>
      <w:r w:rsidR="00633A61">
        <w:rPr>
          <w:b w:val="0"/>
        </w:rPr>
        <w:t>lan</w:t>
      </w:r>
      <w:r w:rsidR="009C2374" w:rsidRPr="00030944">
        <w:rPr>
          <w:b w:val="0"/>
        </w:rPr>
        <w:t xml:space="preserve"> should be </w:t>
      </w:r>
      <w:r w:rsidR="00633A61">
        <w:rPr>
          <w:b w:val="0"/>
        </w:rPr>
        <w:t xml:space="preserve">positively prepared; </w:t>
      </w:r>
      <w:r w:rsidR="009C2374" w:rsidRPr="00030944">
        <w:rPr>
          <w:b w:val="0"/>
        </w:rPr>
        <w:t>justified</w:t>
      </w:r>
      <w:r w:rsidR="00633A61">
        <w:rPr>
          <w:b w:val="0"/>
        </w:rPr>
        <w:t>;</w:t>
      </w:r>
      <w:r w:rsidR="009C2374" w:rsidRPr="00030944">
        <w:rPr>
          <w:b w:val="0"/>
        </w:rPr>
        <w:t xml:space="preserve"> effective and consistent with national policy. </w:t>
      </w:r>
    </w:p>
    <w:p w:rsidR="00CF55B4" w:rsidRDefault="00CF55B4" w:rsidP="00E22598">
      <w:pPr>
        <w:pStyle w:val="DPDIntro"/>
        <w:numPr>
          <w:ilvl w:val="0"/>
          <w:numId w:val="13"/>
        </w:numPr>
        <w:rPr>
          <w:b w:val="0"/>
        </w:rPr>
      </w:pPr>
      <w:r w:rsidRPr="00030944">
        <w:rPr>
          <w:b w:val="0"/>
        </w:rPr>
        <w:t xml:space="preserve">The starting point for the examination is the assumption that the local authority has submitted what it considers to be a sound </w:t>
      </w:r>
      <w:r w:rsidR="001C7FD9">
        <w:rPr>
          <w:b w:val="0"/>
        </w:rPr>
        <w:t>P</w:t>
      </w:r>
      <w:r w:rsidRPr="00030944">
        <w:rPr>
          <w:b w:val="0"/>
        </w:rPr>
        <w:t>lan.  The b</w:t>
      </w:r>
      <w:r w:rsidR="00CD274A" w:rsidRPr="00030944">
        <w:rPr>
          <w:b w:val="0"/>
        </w:rPr>
        <w:t xml:space="preserve">asis for my examination is the </w:t>
      </w:r>
      <w:r w:rsidR="00622771">
        <w:rPr>
          <w:b w:val="0"/>
        </w:rPr>
        <w:t>pre-submission document dated January 2015.</w:t>
      </w:r>
    </w:p>
    <w:p w:rsidR="00CD274A" w:rsidRDefault="00A14F07" w:rsidP="00EF5936">
      <w:pPr>
        <w:pStyle w:val="DPDIntro"/>
        <w:numPr>
          <w:ilvl w:val="0"/>
          <w:numId w:val="13"/>
        </w:numPr>
        <w:rPr>
          <w:b w:val="0"/>
        </w:rPr>
      </w:pPr>
      <w:r>
        <w:rPr>
          <w:b w:val="0"/>
        </w:rPr>
        <w:t>M</w:t>
      </w:r>
      <w:r w:rsidR="00CF55B4" w:rsidRPr="00030944">
        <w:rPr>
          <w:b w:val="0"/>
        </w:rPr>
        <w:t xml:space="preserve">y </w:t>
      </w:r>
      <w:r w:rsidR="006D7CF6" w:rsidRPr="00030944">
        <w:rPr>
          <w:b w:val="0"/>
        </w:rPr>
        <w:t xml:space="preserve">report </w:t>
      </w:r>
      <w:r w:rsidR="006D7CF6">
        <w:rPr>
          <w:b w:val="0"/>
        </w:rPr>
        <w:t>deals</w:t>
      </w:r>
      <w:r w:rsidR="00281E7C">
        <w:rPr>
          <w:b w:val="0"/>
        </w:rPr>
        <w:t xml:space="preserve"> </w:t>
      </w:r>
      <w:r w:rsidR="00CD274A" w:rsidRPr="00030944">
        <w:rPr>
          <w:b w:val="0"/>
        </w:rPr>
        <w:t xml:space="preserve">with </w:t>
      </w:r>
      <w:r w:rsidR="00D25CC4" w:rsidRPr="00030944">
        <w:rPr>
          <w:b w:val="0"/>
        </w:rPr>
        <w:t xml:space="preserve">the </w:t>
      </w:r>
      <w:r w:rsidR="004C763A">
        <w:rPr>
          <w:b w:val="0"/>
        </w:rPr>
        <w:t xml:space="preserve">main modifications </w:t>
      </w:r>
      <w:r w:rsidR="00246188" w:rsidRPr="00030944">
        <w:rPr>
          <w:b w:val="0"/>
        </w:rPr>
        <w:t>that are needed to make th</w:t>
      </w:r>
      <w:r w:rsidR="00A06ED1" w:rsidRPr="00030944">
        <w:rPr>
          <w:b w:val="0"/>
        </w:rPr>
        <w:t>e</w:t>
      </w:r>
      <w:r w:rsidR="00633A61">
        <w:rPr>
          <w:b w:val="0"/>
        </w:rPr>
        <w:t xml:space="preserve"> </w:t>
      </w:r>
      <w:r w:rsidR="00DE4ACA">
        <w:rPr>
          <w:b w:val="0"/>
        </w:rPr>
        <w:t>P</w:t>
      </w:r>
      <w:r w:rsidR="00633A61">
        <w:rPr>
          <w:b w:val="0"/>
        </w:rPr>
        <w:t>lan</w:t>
      </w:r>
      <w:r w:rsidR="003344B5">
        <w:rPr>
          <w:b w:val="0"/>
        </w:rPr>
        <w:t xml:space="preserve"> </w:t>
      </w:r>
      <w:r w:rsidR="00246188" w:rsidRPr="00030944">
        <w:rPr>
          <w:b w:val="0"/>
        </w:rPr>
        <w:t>sound</w:t>
      </w:r>
      <w:r w:rsidR="00D367DE">
        <w:rPr>
          <w:b w:val="0"/>
        </w:rPr>
        <w:t xml:space="preserve"> and </w:t>
      </w:r>
      <w:r w:rsidR="004C763A">
        <w:rPr>
          <w:b w:val="0"/>
        </w:rPr>
        <w:t xml:space="preserve">legally </w:t>
      </w:r>
      <w:r w:rsidR="001B14A5">
        <w:rPr>
          <w:b w:val="0"/>
        </w:rPr>
        <w:t>compliant and</w:t>
      </w:r>
      <w:r w:rsidR="004C763A">
        <w:rPr>
          <w:b w:val="0"/>
        </w:rPr>
        <w:t xml:space="preserve"> </w:t>
      </w:r>
      <w:r w:rsidR="00D367DE">
        <w:rPr>
          <w:b w:val="0"/>
        </w:rPr>
        <w:t>they are identified in bold in the report (</w:t>
      </w:r>
      <w:r w:rsidR="001B14A5">
        <w:t>MM</w:t>
      </w:r>
      <w:r w:rsidR="00D367DE">
        <w:rPr>
          <w:b w:val="0"/>
        </w:rPr>
        <w:t>)</w:t>
      </w:r>
      <w:r w:rsidR="00246188" w:rsidRPr="00030944">
        <w:rPr>
          <w:b w:val="0"/>
        </w:rPr>
        <w:t xml:space="preserve">. </w:t>
      </w:r>
      <w:r w:rsidR="00D25CC4" w:rsidRPr="00030944">
        <w:rPr>
          <w:b w:val="0"/>
        </w:rPr>
        <w:t xml:space="preserve"> </w:t>
      </w:r>
      <w:r w:rsidR="00EF5936">
        <w:rPr>
          <w:b w:val="0"/>
        </w:rPr>
        <w:t xml:space="preserve">In accordance with </w:t>
      </w:r>
      <w:r w:rsidR="004C763A">
        <w:rPr>
          <w:b w:val="0"/>
        </w:rPr>
        <w:t xml:space="preserve">section 20(7C) of the 2004 Act </w:t>
      </w:r>
      <w:r w:rsidR="00EF5936">
        <w:rPr>
          <w:b w:val="0"/>
        </w:rPr>
        <w:t>the Council requested that I should make any modifications needed to rectify matter</w:t>
      </w:r>
      <w:r w:rsidR="004811F2">
        <w:rPr>
          <w:b w:val="0"/>
        </w:rPr>
        <w:t>s</w:t>
      </w:r>
      <w:r w:rsidR="00EF5936">
        <w:rPr>
          <w:b w:val="0"/>
        </w:rPr>
        <w:t xml:space="preserve"> that make the </w:t>
      </w:r>
      <w:r w:rsidR="00FA0B0B">
        <w:rPr>
          <w:b w:val="0"/>
        </w:rPr>
        <w:t>P</w:t>
      </w:r>
      <w:r w:rsidR="00EF5936">
        <w:rPr>
          <w:b w:val="0"/>
        </w:rPr>
        <w:t xml:space="preserve">lan unsound/not legally </w:t>
      </w:r>
      <w:r w:rsidR="004811F2">
        <w:rPr>
          <w:b w:val="0"/>
        </w:rPr>
        <w:t>compliant</w:t>
      </w:r>
      <w:r w:rsidR="00EF5936">
        <w:rPr>
          <w:b w:val="0"/>
        </w:rPr>
        <w:t xml:space="preserve"> and thus incapable of bei</w:t>
      </w:r>
      <w:r w:rsidR="004811F2">
        <w:rPr>
          <w:b w:val="0"/>
        </w:rPr>
        <w:t>n</w:t>
      </w:r>
      <w:r w:rsidR="00EF5936">
        <w:rPr>
          <w:b w:val="0"/>
        </w:rPr>
        <w:t>g ad</w:t>
      </w:r>
      <w:r w:rsidR="004811F2">
        <w:rPr>
          <w:b w:val="0"/>
        </w:rPr>
        <w:t>opted</w:t>
      </w:r>
      <w:r w:rsidR="00EF5936">
        <w:rPr>
          <w:b w:val="0"/>
        </w:rPr>
        <w:t xml:space="preserve">.  These </w:t>
      </w:r>
      <w:r w:rsidR="00F43F5D">
        <w:rPr>
          <w:b w:val="0"/>
        </w:rPr>
        <w:t>M</w:t>
      </w:r>
      <w:r w:rsidR="00EF5936">
        <w:rPr>
          <w:b w:val="0"/>
        </w:rPr>
        <w:t xml:space="preserve">ain </w:t>
      </w:r>
      <w:r w:rsidR="00F43F5D">
        <w:rPr>
          <w:b w:val="0"/>
        </w:rPr>
        <w:t>M</w:t>
      </w:r>
      <w:r w:rsidR="004811F2">
        <w:rPr>
          <w:b w:val="0"/>
        </w:rPr>
        <w:t>odifications</w:t>
      </w:r>
      <w:r w:rsidR="00EF5936">
        <w:rPr>
          <w:b w:val="0"/>
        </w:rPr>
        <w:t xml:space="preserve"> are </w:t>
      </w:r>
      <w:r w:rsidR="00564DD6">
        <w:rPr>
          <w:b w:val="0"/>
        </w:rPr>
        <w:t xml:space="preserve">set out </w:t>
      </w:r>
      <w:r w:rsidR="001B14A5">
        <w:rPr>
          <w:b w:val="0"/>
        </w:rPr>
        <w:t>in the</w:t>
      </w:r>
      <w:r w:rsidR="004C763A">
        <w:rPr>
          <w:b w:val="0"/>
        </w:rPr>
        <w:t xml:space="preserve"> </w:t>
      </w:r>
      <w:r w:rsidR="00C64442">
        <w:rPr>
          <w:b w:val="0"/>
        </w:rPr>
        <w:t>Appendix</w:t>
      </w:r>
      <w:r w:rsidR="00927E48">
        <w:rPr>
          <w:b w:val="0"/>
        </w:rPr>
        <w:t>.</w:t>
      </w:r>
    </w:p>
    <w:p w:rsidR="00833834" w:rsidRDefault="00833834" w:rsidP="00EF5936">
      <w:pPr>
        <w:pStyle w:val="DPDIntro"/>
        <w:numPr>
          <w:ilvl w:val="0"/>
          <w:numId w:val="13"/>
        </w:numPr>
        <w:rPr>
          <w:b w:val="0"/>
        </w:rPr>
      </w:pPr>
      <w:r>
        <w:rPr>
          <w:b w:val="0"/>
        </w:rPr>
        <w:t>The</w:t>
      </w:r>
      <w:r w:rsidRPr="00833834">
        <w:t xml:space="preserve"> </w:t>
      </w:r>
      <w:r w:rsidRPr="00833834">
        <w:rPr>
          <w:b w:val="0"/>
        </w:rPr>
        <w:t>Main Modifications that are necessary for soundness all relate to matters that were discussed at the Examination hearings.  Following these discussions, the Council prepared a schedule of proposed Main Modifications and carried out sustainability appraisal and this schedule has been subject to public consultation for six weeks.  A small number of modifications were omitted from the initial consultation process.  These were subsequently published by the Council and a further 6 week period of consultation was undertaken (ending on 22</w:t>
      </w:r>
      <w:r w:rsidRPr="00833834">
        <w:rPr>
          <w:b w:val="0"/>
          <w:vertAlign w:val="superscript"/>
        </w:rPr>
        <w:t>nd</w:t>
      </w:r>
      <w:r w:rsidRPr="00833834">
        <w:rPr>
          <w:b w:val="0"/>
        </w:rPr>
        <w:t xml:space="preserve"> June 2016).  I have taken into account all the consultation responses, including the petition with over 900 signatories objecting to development at Knights Hill, in coming to my conclusions in this report.  To avoid confusion I have used the same reference numbers for the MMs as set out in the Council’s Index of Modifications, with the ‘omitted’ modifications following on sequentially.  </w:t>
      </w:r>
    </w:p>
    <w:p w:rsidR="005356EF" w:rsidRPr="00833834" w:rsidRDefault="005356EF" w:rsidP="00AE1F4C">
      <w:pPr>
        <w:pStyle w:val="DPDIntro"/>
        <w:tabs>
          <w:tab w:val="left" w:pos="360"/>
        </w:tabs>
        <w:ind w:left="567" w:hanging="567"/>
        <w:rPr>
          <w:sz w:val="32"/>
        </w:rPr>
      </w:pPr>
    </w:p>
    <w:p w:rsidR="00511E47" w:rsidRPr="00225C39" w:rsidRDefault="00511E47" w:rsidP="00511E47">
      <w:pPr>
        <w:pStyle w:val="DPDIntro"/>
        <w:rPr>
          <w:sz w:val="28"/>
          <w:szCs w:val="28"/>
        </w:rPr>
      </w:pPr>
      <w:r w:rsidRPr="00225C39">
        <w:rPr>
          <w:sz w:val="28"/>
          <w:szCs w:val="28"/>
        </w:rPr>
        <w:t>Preliminary Matters</w:t>
      </w:r>
    </w:p>
    <w:p w:rsidR="00511E47" w:rsidRPr="00511E47" w:rsidRDefault="00511E47" w:rsidP="00511E47">
      <w:pPr>
        <w:pStyle w:val="DPDIntro"/>
      </w:pPr>
      <w:r>
        <w:t>The Consideration of Alternative Sites for Housing Allocations</w:t>
      </w:r>
    </w:p>
    <w:p w:rsidR="00860A4D" w:rsidRPr="00860A4D" w:rsidRDefault="00511E47" w:rsidP="005D318C">
      <w:pPr>
        <w:pStyle w:val="DPDIntro"/>
        <w:numPr>
          <w:ilvl w:val="0"/>
          <w:numId w:val="13"/>
        </w:numPr>
        <w:rPr>
          <w:b w:val="0"/>
          <w:color w:val="0000FF"/>
        </w:rPr>
      </w:pPr>
      <w:r w:rsidRPr="00511E47">
        <w:rPr>
          <w:b w:val="0"/>
        </w:rPr>
        <w:t>The Sustainability Appraisal (SA) includes an assessment of 66 settlements in the Borough and for most of th</w:t>
      </w:r>
      <w:r>
        <w:rPr>
          <w:b w:val="0"/>
        </w:rPr>
        <w:t>ose</w:t>
      </w:r>
      <w:r w:rsidRPr="00511E47">
        <w:rPr>
          <w:b w:val="0"/>
        </w:rPr>
        <w:t xml:space="preserve"> </w:t>
      </w:r>
      <w:proofErr w:type="gramStart"/>
      <w:r w:rsidRPr="00511E47">
        <w:rPr>
          <w:b w:val="0"/>
        </w:rPr>
        <w:t>settlements</w:t>
      </w:r>
      <w:proofErr w:type="gramEnd"/>
      <w:r w:rsidRPr="00511E47">
        <w:rPr>
          <w:b w:val="0"/>
        </w:rPr>
        <w:t xml:space="preserve"> a relatively large number of potential housing sites have been </w:t>
      </w:r>
      <w:r>
        <w:rPr>
          <w:b w:val="0"/>
        </w:rPr>
        <w:t>appraised</w:t>
      </w:r>
      <w:r w:rsidRPr="00511E47">
        <w:rPr>
          <w:b w:val="0"/>
        </w:rPr>
        <w:t xml:space="preserve">.  To accord with paragraph 182 of the NPPF and in the interests of brevity, the focus of this Report is on the soundness of the submitted Plan rather than on individual objections.  Consequently </w:t>
      </w:r>
      <w:r w:rsidR="00F43F5D">
        <w:rPr>
          <w:b w:val="0"/>
        </w:rPr>
        <w:t xml:space="preserve">it is only necessary for me to refer to </w:t>
      </w:r>
      <w:r w:rsidRPr="00511E47">
        <w:rPr>
          <w:b w:val="0"/>
        </w:rPr>
        <w:t xml:space="preserve">alternative sites for housing allocations in circumstances where there is sufficient cause to justify comparing the soundness of the Council’s proposals with other options that </w:t>
      </w:r>
      <w:r w:rsidRPr="00511E47">
        <w:rPr>
          <w:b w:val="0"/>
        </w:rPr>
        <w:lastRenderedPageBreak/>
        <w:t>may be available</w:t>
      </w:r>
      <w:r w:rsidR="00E713E7">
        <w:rPr>
          <w:b w:val="0"/>
        </w:rPr>
        <w:t xml:space="preserve"> (i.e. where there is sufficient doubt that the most</w:t>
      </w:r>
      <w:r w:rsidR="00F43F5D">
        <w:rPr>
          <w:b w:val="0"/>
        </w:rPr>
        <w:t xml:space="preserve"> sustainable and</w:t>
      </w:r>
      <w:r w:rsidR="00E713E7">
        <w:rPr>
          <w:b w:val="0"/>
        </w:rPr>
        <w:t xml:space="preserve"> appropriate strategy is being followed</w:t>
      </w:r>
      <w:r w:rsidR="0008457F">
        <w:rPr>
          <w:b w:val="0"/>
        </w:rPr>
        <w:t xml:space="preserve"> by the Council</w:t>
      </w:r>
      <w:r w:rsidR="00E713E7">
        <w:rPr>
          <w:b w:val="0"/>
        </w:rPr>
        <w:t>)</w:t>
      </w:r>
      <w:r w:rsidRPr="00511E47">
        <w:rPr>
          <w:b w:val="0"/>
        </w:rPr>
        <w:t>.</w:t>
      </w:r>
    </w:p>
    <w:p w:rsidR="00860A4D" w:rsidRPr="00860A4D" w:rsidRDefault="00860A4D" w:rsidP="00860A4D">
      <w:pPr>
        <w:pStyle w:val="DPDIntro"/>
        <w:rPr>
          <w:color w:val="0000FF"/>
        </w:rPr>
      </w:pPr>
      <w:r>
        <w:t>Current and Recent Planning Applications</w:t>
      </w:r>
    </w:p>
    <w:p w:rsidR="00225C39" w:rsidRPr="00BB4AD6" w:rsidRDefault="00860A4D" w:rsidP="005D318C">
      <w:pPr>
        <w:pStyle w:val="DPDIntro"/>
        <w:numPr>
          <w:ilvl w:val="0"/>
          <w:numId w:val="13"/>
        </w:numPr>
        <w:rPr>
          <w:b w:val="0"/>
          <w:color w:val="0000FF"/>
        </w:rPr>
      </w:pPr>
      <w:r>
        <w:rPr>
          <w:b w:val="0"/>
          <w:szCs w:val="22"/>
        </w:rPr>
        <w:t>I am aware th</w:t>
      </w:r>
      <w:r w:rsidR="00D72104">
        <w:rPr>
          <w:b w:val="0"/>
          <w:szCs w:val="22"/>
        </w:rPr>
        <w:t>at</w:t>
      </w:r>
      <w:r>
        <w:rPr>
          <w:b w:val="0"/>
          <w:szCs w:val="22"/>
        </w:rPr>
        <w:t xml:space="preserve"> a number of allocated and non-allocated housing sites have been granted planning permission</w:t>
      </w:r>
      <w:r w:rsidR="00D11479">
        <w:rPr>
          <w:b w:val="0"/>
          <w:szCs w:val="22"/>
        </w:rPr>
        <w:t xml:space="preserve"> (or are currently being considered by the Council) </w:t>
      </w:r>
      <w:r>
        <w:rPr>
          <w:b w:val="0"/>
          <w:szCs w:val="22"/>
        </w:rPr>
        <w:t>during the course of the Examination.  It is not appropriate for me to comment on detailed proposals and for the avoidance of doubt I do not refer to all of them in this Report.</w:t>
      </w:r>
      <w:r w:rsidR="0087291A" w:rsidRPr="00511E47">
        <w:rPr>
          <w:b w:val="0"/>
          <w:szCs w:val="22"/>
        </w:rPr>
        <w:t xml:space="preserve"> </w:t>
      </w:r>
    </w:p>
    <w:p w:rsidR="00BB4AD6" w:rsidRPr="00BB4AD6" w:rsidRDefault="00BB4AD6" w:rsidP="00BB4AD6">
      <w:pPr>
        <w:pStyle w:val="DPDIntro"/>
        <w:rPr>
          <w:b w:val="0"/>
          <w:color w:val="0000FF"/>
        </w:rPr>
      </w:pPr>
      <w:r>
        <w:rPr>
          <w:szCs w:val="22"/>
        </w:rPr>
        <w:t>Settlement Boundaries</w:t>
      </w:r>
    </w:p>
    <w:p w:rsidR="00BB4AD6" w:rsidRPr="00BB4AD6" w:rsidRDefault="00BB4AD6" w:rsidP="005D318C">
      <w:pPr>
        <w:pStyle w:val="DPDIntro"/>
        <w:numPr>
          <w:ilvl w:val="0"/>
          <w:numId w:val="13"/>
        </w:numPr>
        <w:rPr>
          <w:b w:val="0"/>
        </w:rPr>
      </w:pPr>
      <w:r w:rsidRPr="00BB4AD6">
        <w:rPr>
          <w:b w:val="0"/>
        </w:rPr>
        <w:t>A number of concerns were raised regarding the delineation of some of the settlement boundaries.</w:t>
      </w:r>
      <w:r>
        <w:rPr>
          <w:b w:val="0"/>
        </w:rPr>
        <w:t xml:space="preserve">  In the interests of brevity I address this matter only under Issue 6 (policy DM2) and not in relation to every specific settlement</w:t>
      </w:r>
      <w:r w:rsidR="00D72104">
        <w:rPr>
          <w:b w:val="0"/>
        </w:rPr>
        <w:t xml:space="preserve"> (see page 33)</w:t>
      </w:r>
      <w:r>
        <w:rPr>
          <w:b w:val="0"/>
        </w:rPr>
        <w:t>.</w:t>
      </w:r>
    </w:p>
    <w:p w:rsidR="00511E47" w:rsidRPr="004D65E3" w:rsidRDefault="004D65E3" w:rsidP="004D65E3">
      <w:pPr>
        <w:pStyle w:val="DPDIntro"/>
        <w:rPr>
          <w:color w:val="0000FF"/>
        </w:rPr>
      </w:pPr>
      <w:r>
        <w:t xml:space="preserve">The Weight to be </w:t>
      </w:r>
      <w:proofErr w:type="gramStart"/>
      <w:r>
        <w:t>Attached</w:t>
      </w:r>
      <w:proofErr w:type="gramEnd"/>
      <w:r>
        <w:t xml:space="preserve"> to Nature Conservation Issues</w:t>
      </w:r>
    </w:p>
    <w:p w:rsidR="004D65E3" w:rsidRPr="004D65E3" w:rsidRDefault="004D65E3" w:rsidP="005D318C">
      <w:pPr>
        <w:pStyle w:val="DPDIntro"/>
        <w:numPr>
          <w:ilvl w:val="0"/>
          <w:numId w:val="13"/>
        </w:numPr>
        <w:rPr>
          <w:b w:val="0"/>
          <w:color w:val="0000FF"/>
        </w:rPr>
      </w:pPr>
      <w:r>
        <w:rPr>
          <w:b w:val="0"/>
        </w:rPr>
        <w:t>There are a number of sites within the Borough that are of European nature conservation importance.</w:t>
      </w:r>
      <w:r w:rsidR="00606575">
        <w:rPr>
          <w:b w:val="0"/>
        </w:rPr>
        <w:t xml:space="preserve">  Some of the proposed housing allocations, however, may have detrimental consequences for these protected sites and species and this is acknowledged by the Council.  Policies in the submitted plan (for example E2.1: West Winch Growth Area and E4.1: Knights Hill) refer to the need for habitat protection measures to mitigate the potential adverse impacts but no evidence was initially submitted to demonstrate how those impacts could be satisfactorily addressed.</w:t>
      </w:r>
    </w:p>
    <w:p w:rsidR="005E6505" w:rsidRPr="005E6505" w:rsidRDefault="005E6505" w:rsidP="005D318C">
      <w:pPr>
        <w:pStyle w:val="DPDIntro"/>
        <w:numPr>
          <w:ilvl w:val="0"/>
          <w:numId w:val="13"/>
        </w:numPr>
        <w:rPr>
          <w:b w:val="0"/>
          <w:color w:val="0000FF"/>
        </w:rPr>
      </w:pPr>
      <w:r>
        <w:rPr>
          <w:b w:val="0"/>
        </w:rPr>
        <w:t xml:space="preserve">In response to </w:t>
      </w:r>
      <w:r w:rsidR="0036545E">
        <w:rPr>
          <w:b w:val="0"/>
        </w:rPr>
        <w:t>my concerns about this matter the Council prepared the ‘Natura 2000 sites Monitoring and Mitigation Strategy’</w:t>
      </w:r>
      <w:r w:rsidR="00D72104">
        <w:rPr>
          <w:rStyle w:val="FootnoteReference"/>
          <w:b w:val="0"/>
        </w:rPr>
        <w:footnoteReference w:id="1"/>
      </w:r>
      <w:r w:rsidR="0036545E">
        <w:rPr>
          <w:b w:val="0"/>
        </w:rPr>
        <w:t xml:space="preserve">.  In summary the document considers existing and proposed monitoring and mitigation measures; funding and implementation; governance arrangements; and </w:t>
      </w:r>
      <w:r w:rsidR="00D72104">
        <w:rPr>
          <w:b w:val="0"/>
        </w:rPr>
        <w:t xml:space="preserve">ongoing </w:t>
      </w:r>
      <w:r w:rsidR="0036545E">
        <w:rPr>
          <w:b w:val="0"/>
        </w:rPr>
        <w:t xml:space="preserve">review and monitoring.  </w:t>
      </w:r>
      <w:r>
        <w:rPr>
          <w:b w:val="0"/>
        </w:rPr>
        <w:t xml:space="preserve">As a consequence of this ‘new’ evidence </w:t>
      </w:r>
      <w:r w:rsidR="0036545E">
        <w:rPr>
          <w:b w:val="0"/>
        </w:rPr>
        <w:t>I am satisfied that any potential adverse impacts of development on sites of European importance will be avoided or mitigated against.  My confidence is strengthened by the Statement of C</w:t>
      </w:r>
      <w:r w:rsidR="00BA4A40">
        <w:rPr>
          <w:b w:val="0"/>
        </w:rPr>
        <w:t>ommon Ground</w:t>
      </w:r>
      <w:r>
        <w:rPr>
          <w:b w:val="0"/>
        </w:rPr>
        <w:t xml:space="preserve"> on the matter</w:t>
      </w:r>
      <w:r w:rsidR="00BA4A40">
        <w:rPr>
          <w:b w:val="0"/>
        </w:rPr>
        <w:t xml:space="preserve"> that was signed by the Council,</w:t>
      </w:r>
      <w:r w:rsidR="009F1C8C">
        <w:rPr>
          <w:b w:val="0"/>
        </w:rPr>
        <w:t xml:space="preserve"> </w:t>
      </w:r>
      <w:r>
        <w:rPr>
          <w:b w:val="0"/>
        </w:rPr>
        <w:t xml:space="preserve">Natural England, </w:t>
      </w:r>
      <w:proofErr w:type="gramStart"/>
      <w:r>
        <w:rPr>
          <w:b w:val="0"/>
        </w:rPr>
        <w:t>the</w:t>
      </w:r>
      <w:proofErr w:type="gramEnd"/>
      <w:r>
        <w:rPr>
          <w:b w:val="0"/>
        </w:rPr>
        <w:t xml:space="preserve"> Royal Society for the Protection of Birds and the Norfolk Wildlife Trust</w:t>
      </w:r>
      <w:r w:rsidR="00D72104">
        <w:rPr>
          <w:rStyle w:val="FootnoteReference"/>
          <w:b w:val="0"/>
        </w:rPr>
        <w:footnoteReference w:id="2"/>
      </w:r>
      <w:r>
        <w:rPr>
          <w:b w:val="0"/>
        </w:rPr>
        <w:t>.</w:t>
      </w:r>
    </w:p>
    <w:p w:rsidR="00103063" w:rsidRPr="003102B6" w:rsidRDefault="005E6505" w:rsidP="00663F5A">
      <w:pPr>
        <w:pStyle w:val="DPDIntro"/>
        <w:numPr>
          <w:ilvl w:val="0"/>
          <w:numId w:val="13"/>
        </w:numPr>
      </w:pPr>
      <w:r w:rsidRPr="005E6505">
        <w:rPr>
          <w:b w:val="0"/>
        </w:rPr>
        <w:t>I am satisfied that the Council’s up-dated approach is sound and that appropriate weight is now placed on issues of nature conservation.  It is on this basis that I have considered the contents of the SADMP</w:t>
      </w:r>
      <w:r w:rsidR="00AF10E4">
        <w:rPr>
          <w:b w:val="0"/>
        </w:rPr>
        <w:t>P</w:t>
      </w:r>
      <w:r w:rsidRPr="005E6505">
        <w:rPr>
          <w:b w:val="0"/>
        </w:rPr>
        <w:t>.</w:t>
      </w:r>
    </w:p>
    <w:p w:rsidR="003102B6" w:rsidRDefault="003102B6" w:rsidP="003102B6">
      <w:pPr>
        <w:pStyle w:val="DPDIntro"/>
      </w:pPr>
      <w:r>
        <w:t>The Policies Map</w:t>
      </w:r>
    </w:p>
    <w:p w:rsidR="003102B6" w:rsidRPr="003102B6" w:rsidRDefault="003102B6" w:rsidP="00663F5A">
      <w:pPr>
        <w:pStyle w:val="DPDIntro"/>
        <w:numPr>
          <w:ilvl w:val="0"/>
          <w:numId w:val="13"/>
        </w:numPr>
        <w:rPr>
          <w:b w:val="0"/>
        </w:rPr>
      </w:pPr>
      <w:r w:rsidRPr="003102B6">
        <w:rPr>
          <w:b w:val="0"/>
        </w:rPr>
        <w:t xml:space="preserve">The </w:t>
      </w:r>
      <w:r>
        <w:rPr>
          <w:b w:val="0"/>
        </w:rPr>
        <w:t>C</w:t>
      </w:r>
      <w:r w:rsidRPr="003102B6">
        <w:rPr>
          <w:b w:val="0"/>
        </w:rPr>
        <w:t>ouncil is required to maintain an adopted policies map which illustrates geographically the application of the policies in the adopted development plan.  When submitting a</w:t>
      </w:r>
      <w:r>
        <w:rPr>
          <w:b w:val="0"/>
        </w:rPr>
        <w:t xml:space="preserve"> </w:t>
      </w:r>
      <w:r w:rsidR="004C1F9F">
        <w:rPr>
          <w:b w:val="0"/>
        </w:rPr>
        <w:t>P</w:t>
      </w:r>
      <w:r>
        <w:rPr>
          <w:b w:val="0"/>
        </w:rPr>
        <w:t xml:space="preserve">lan for examination, the Council is then required to provide a submission policies map showing the changes to the adopted policies </w:t>
      </w:r>
      <w:r>
        <w:rPr>
          <w:b w:val="0"/>
        </w:rPr>
        <w:lastRenderedPageBreak/>
        <w:t>map that would result from the proposals in the submitted plan.  In this case the submission policies map comprises the plans as set out throughout the submitted document.</w:t>
      </w:r>
    </w:p>
    <w:p w:rsidR="003102B6" w:rsidRDefault="003102B6" w:rsidP="00663F5A">
      <w:pPr>
        <w:pStyle w:val="DPDIntro"/>
        <w:numPr>
          <w:ilvl w:val="0"/>
          <w:numId w:val="13"/>
        </w:numPr>
        <w:rPr>
          <w:b w:val="0"/>
        </w:rPr>
      </w:pPr>
      <w:r w:rsidRPr="003102B6">
        <w:rPr>
          <w:b w:val="0"/>
        </w:rPr>
        <w:t>The policies map is not defined in statute as a development plan document and so I do not have the power to recommend main modifications to it.</w:t>
      </w:r>
      <w:r>
        <w:rPr>
          <w:b w:val="0"/>
        </w:rPr>
        <w:t xml:space="preserve">  However, a number of the published main modifications </w:t>
      </w:r>
      <w:r w:rsidR="004C1F9F">
        <w:rPr>
          <w:b w:val="0"/>
        </w:rPr>
        <w:t xml:space="preserve">do </w:t>
      </w:r>
      <w:r>
        <w:rPr>
          <w:b w:val="0"/>
        </w:rPr>
        <w:t>require corresponding changes to be made t</w:t>
      </w:r>
      <w:r w:rsidR="004C1F9F">
        <w:rPr>
          <w:b w:val="0"/>
        </w:rPr>
        <w:t>o the policies map</w:t>
      </w:r>
      <w:r w:rsidR="00E95F39">
        <w:rPr>
          <w:b w:val="0"/>
        </w:rPr>
        <w:t xml:space="preserve">.  In addition there are some instances where the geographic illustration of the policies on the submission policies map is not justified and changes should be made to the map to ensure that the relevant policies are effective. </w:t>
      </w:r>
      <w:r w:rsidR="004C1F9F">
        <w:rPr>
          <w:b w:val="0"/>
        </w:rPr>
        <w:t xml:space="preserve"> I am satisfied that a</w:t>
      </w:r>
      <w:r w:rsidR="00E95F39">
        <w:rPr>
          <w:b w:val="0"/>
        </w:rPr>
        <w:t>ll</w:t>
      </w:r>
      <w:r w:rsidR="004C1F9F">
        <w:rPr>
          <w:b w:val="0"/>
        </w:rPr>
        <w:t xml:space="preserve"> such changes have been subject to appropriate public consultation.</w:t>
      </w:r>
    </w:p>
    <w:p w:rsidR="004C1F9F" w:rsidRPr="003102B6" w:rsidRDefault="004C1F9F" w:rsidP="00663F5A">
      <w:pPr>
        <w:pStyle w:val="DPDIntro"/>
        <w:numPr>
          <w:ilvl w:val="0"/>
          <w:numId w:val="13"/>
        </w:numPr>
        <w:rPr>
          <w:b w:val="0"/>
        </w:rPr>
      </w:pPr>
      <w:r>
        <w:rPr>
          <w:b w:val="0"/>
        </w:rPr>
        <w:t>When the SADMPP is adopted, in order to comply with the legislation and give effect to the Plan’s policies, the Council will need to update the adopted policies map to include</w:t>
      </w:r>
      <w:r w:rsidR="0084085B">
        <w:rPr>
          <w:b w:val="0"/>
        </w:rPr>
        <w:t>, where appropriate,</w:t>
      </w:r>
      <w:r>
        <w:rPr>
          <w:b w:val="0"/>
        </w:rPr>
        <w:t xml:space="preserve"> all the changes now proposed</w:t>
      </w:r>
      <w:r w:rsidR="0084085B">
        <w:rPr>
          <w:b w:val="0"/>
        </w:rPr>
        <w:t>.</w:t>
      </w:r>
    </w:p>
    <w:p w:rsidR="005E6505" w:rsidRPr="00972593" w:rsidRDefault="005E6505" w:rsidP="005E6505">
      <w:pPr>
        <w:pStyle w:val="DPDIntro"/>
      </w:pPr>
      <w:r w:rsidRPr="00972593">
        <w:t>Public Consultation</w:t>
      </w:r>
    </w:p>
    <w:p w:rsidR="006A4B2B" w:rsidRDefault="008C247B" w:rsidP="006A4B2B">
      <w:pPr>
        <w:pStyle w:val="DPDIntro"/>
        <w:numPr>
          <w:ilvl w:val="0"/>
          <w:numId w:val="13"/>
        </w:numPr>
      </w:pPr>
      <w:r w:rsidRPr="00AE1F4C">
        <w:rPr>
          <w:b w:val="0"/>
        </w:rPr>
        <w:t>A number of concerns were raised regarding the public consultation undertaken and in particular the dissemination of details regarding the timetable for such consultation.  However, I am satisfied that the requirements of the Council’s Statement of Community Involvement have been met and that the statutory consultation has been undertaken in accordance with the relevant Regulations.</w:t>
      </w:r>
    </w:p>
    <w:p w:rsidR="006A4B2B" w:rsidRPr="00BA0323" w:rsidRDefault="006A4B2B" w:rsidP="006A4B2B">
      <w:pPr>
        <w:pStyle w:val="DPDReportMainHeading"/>
      </w:pPr>
      <w:r>
        <w:t xml:space="preserve">Assessment of Duty to Co-operate </w:t>
      </w:r>
    </w:p>
    <w:p w:rsidR="006A4B2B" w:rsidRDefault="006A4B2B" w:rsidP="006A4B2B">
      <w:pPr>
        <w:pStyle w:val="DPDIntro"/>
        <w:numPr>
          <w:ilvl w:val="0"/>
          <w:numId w:val="13"/>
        </w:numPr>
        <w:rPr>
          <w:b w:val="0"/>
          <w:szCs w:val="22"/>
        </w:rPr>
      </w:pPr>
      <w:r w:rsidRPr="004F7E91">
        <w:rPr>
          <w:b w:val="0"/>
          <w:szCs w:val="22"/>
        </w:rPr>
        <w:t xml:space="preserve">Section </w:t>
      </w:r>
      <w:r w:rsidRPr="00E9596F">
        <w:rPr>
          <w:rFonts w:cs="Arial"/>
          <w:b w:val="0"/>
          <w:szCs w:val="22"/>
        </w:rPr>
        <w:t xml:space="preserve">s20(5)(c) of the  2004 Act requires that I consider whether the Council  complied with any duty imposed on them by section 33A  of the 2004 Act  in relation to </w:t>
      </w:r>
      <w:r w:rsidRPr="00E9596F">
        <w:rPr>
          <w:rFonts w:cs="Arial"/>
          <w:b w:val="0"/>
          <w:iCs/>
          <w:szCs w:val="22"/>
        </w:rPr>
        <w:t xml:space="preserve">the </w:t>
      </w:r>
      <w:r>
        <w:rPr>
          <w:rFonts w:cs="Arial"/>
          <w:b w:val="0"/>
          <w:iCs/>
          <w:szCs w:val="22"/>
        </w:rPr>
        <w:t>P</w:t>
      </w:r>
      <w:r w:rsidRPr="00E9596F">
        <w:rPr>
          <w:rFonts w:cs="Arial"/>
          <w:b w:val="0"/>
          <w:iCs/>
          <w:szCs w:val="22"/>
        </w:rPr>
        <w:t>lan’s</w:t>
      </w:r>
      <w:r w:rsidRPr="00E9596F">
        <w:rPr>
          <w:rFonts w:cs="Arial"/>
          <w:b w:val="0"/>
          <w:szCs w:val="22"/>
        </w:rPr>
        <w:t xml:space="preserve"> </w:t>
      </w:r>
      <w:r w:rsidRPr="00803CE1">
        <w:rPr>
          <w:rFonts w:cs="Arial"/>
          <w:b w:val="0"/>
          <w:szCs w:val="22"/>
        </w:rPr>
        <w:t>preparation</w:t>
      </w:r>
      <w:r>
        <w:rPr>
          <w:b w:val="0"/>
          <w:szCs w:val="22"/>
        </w:rPr>
        <w:t xml:space="preserve">.  </w:t>
      </w:r>
    </w:p>
    <w:p w:rsidR="00AE1F4C" w:rsidRDefault="006A4B2B" w:rsidP="00AE1F4C">
      <w:pPr>
        <w:pStyle w:val="DPDIntro"/>
        <w:numPr>
          <w:ilvl w:val="0"/>
          <w:numId w:val="13"/>
        </w:numPr>
      </w:pPr>
      <w:r w:rsidRPr="00833834">
        <w:rPr>
          <w:b w:val="0"/>
          <w:szCs w:val="22"/>
        </w:rPr>
        <w:t>The Council’s ‘Duty to Cooperate Statement’ (April 2015) sets out the key relationships with a number of strategic partners and summarises actions that have already been taken and how on-going co-operation will be sought.  The achievement of co-operation was evident in the written submissions and also at the hearings.  Examples include evidence presented by the Highways Authority (Borough wide); a range of nature conservation groups; Fenland District Council (</w:t>
      </w:r>
      <w:proofErr w:type="spellStart"/>
      <w:r w:rsidRPr="00833834">
        <w:rPr>
          <w:b w:val="0"/>
          <w:szCs w:val="22"/>
        </w:rPr>
        <w:t>Wisbech</w:t>
      </w:r>
      <w:proofErr w:type="spellEnd"/>
      <w:r w:rsidRPr="00833834">
        <w:rPr>
          <w:b w:val="0"/>
          <w:szCs w:val="22"/>
        </w:rPr>
        <w:t xml:space="preserve"> fringe); and the Environment Agency (flood risk).  This Plan has been prepared within the framework already provided by the Core Strategy (CS) and consequently the wider strategic implications of the Plan are limited and the duty should be seen within this context.  No evidence was submitted to demonstrate that co-operation has not occurred and I am satisfied that the Council has engaged constructively, actively and on an on-going basis and it can be concluded that the duty to co-operate has been met.</w:t>
      </w:r>
    </w:p>
    <w:p w:rsidR="00132712" w:rsidRPr="00BA0323" w:rsidRDefault="00435CB9" w:rsidP="00663F5A">
      <w:pPr>
        <w:pStyle w:val="DPDReportMainHeading"/>
      </w:pPr>
      <w:r>
        <w:t xml:space="preserve">Assessment of </w:t>
      </w:r>
      <w:r w:rsidR="00132712">
        <w:t xml:space="preserve">Soundness </w:t>
      </w:r>
    </w:p>
    <w:p w:rsidR="008A1978" w:rsidRPr="00FA0B0B" w:rsidRDefault="008A1978" w:rsidP="00AA258E">
      <w:pPr>
        <w:pStyle w:val="DPDIntro"/>
        <w:widowControl w:val="0"/>
        <w:rPr>
          <w:color w:val="000000"/>
        </w:rPr>
      </w:pPr>
      <w:r w:rsidRPr="00FA0B0B">
        <w:rPr>
          <w:color w:val="000000"/>
        </w:rPr>
        <w:t>Main Issues</w:t>
      </w:r>
    </w:p>
    <w:p w:rsidR="00810BF5" w:rsidRPr="00B249BF" w:rsidRDefault="0076644F" w:rsidP="00B249BF">
      <w:pPr>
        <w:pStyle w:val="DPDIntro"/>
        <w:widowControl w:val="0"/>
        <w:numPr>
          <w:ilvl w:val="0"/>
          <w:numId w:val="13"/>
        </w:numPr>
        <w:rPr>
          <w:b w:val="0"/>
        </w:rPr>
      </w:pPr>
      <w:r w:rsidRPr="00B249BF">
        <w:rPr>
          <w:b w:val="0"/>
        </w:rPr>
        <w:t>Taking</w:t>
      </w:r>
      <w:r w:rsidR="0076159B">
        <w:rPr>
          <w:b w:val="0"/>
        </w:rPr>
        <w:t xml:space="preserve"> into</w:t>
      </w:r>
      <w:r w:rsidRPr="00B249BF">
        <w:rPr>
          <w:b w:val="0"/>
        </w:rPr>
        <w:t xml:space="preserve"> account all the representations, written evidence and the discussions that took place at the examination hearings I have identified</w:t>
      </w:r>
      <w:r w:rsidR="00AF10E4">
        <w:rPr>
          <w:b w:val="0"/>
        </w:rPr>
        <w:t xml:space="preserve"> seven </w:t>
      </w:r>
      <w:r w:rsidRPr="00B249BF">
        <w:rPr>
          <w:b w:val="0"/>
        </w:rPr>
        <w:t xml:space="preserve">main </w:t>
      </w:r>
      <w:r w:rsidR="00FA3060" w:rsidRPr="00B249BF">
        <w:rPr>
          <w:b w:val="0"/>
        </w:rPr>
        <w:t xml:space="preserve">issues </w:t>
      </w:r>
      <w:r w:rsidRPr="00B249BF">
        <w:rPr>
          <w:b w:val="0"/>
        </w:rPr>
        <w:t xml:space="preserve">upon which the soundness of the </w:t>
      </w:r>
      <w:r w:rsidR="00A164CF">
        <w:rPr>
          <w:b w:val="0"/>
        </w:rPr>
        <w:t>P</w:t>
      </w:r>
      <w:r w:rsidRPr="00B249BF">
        <w:rPr>
          <w:b w:val="0"/>
        </w:rPr>
        <w:t xml:space="preserve">lan depends. </w:t>
      </w:r>
    </w:p>
    <w:p w:rsidR="000E72D7" w:rsidRPr="00FA0B0B" w:rsidRDefault="00EF6D5B" w:rsidP="00AA258E">
      <w:pPr>
        <w:pStyle w:val="DPDIntro"/>
        <w:widowControl w:val="0"/>
        <w:rPr>
          <w:color w:val="000000"/>
        </w:rPr>
      </w:pPr>
      <w:r w:rsidRPr="00FA0B0B">
        <w:rPr>
          <w:color w:val="000000"/>
        </w:rPr>
        <w:lastRenderedPageBreak/>
        <w:t xml:space="preserve">Issue 1 – </w:t>
      </w:r>
      <w:r w:rsidR="00F669F9">
        <w:rPr>
          <w:color w:val="000000"/>
        </w:rPr>
        <w:t>Whether or not</w:t>
      </w:r>
      <w:r w:rsidR="003A0F7E">
        <w:rPr>
          <w:color w:val="000000"/>
        </w:rPr>
        <w:t xml:space="preserve"> the </w:t>
      </w:r>
      <w:r w:rsidR="00DB1617">
        <w:rPr>
          <w:color w:val="000000"/>
        </w:rPr>
        <w:t xml:space="preserve">Amount and </w:t>
      </w:r>
      <w:r w:rsidR="003A0F7E">
        <w:rPr>
          <w:color w:val="000000"/>
        </w:rPr>
        <w:t>Distribution of Housing</w:t>
      </w:r>
      <w:r w:rsidR="002129A9">
        <w:rPr>
          <w:color w:val="000000"/>
        </w:rPr>
        <w:t xml:space="preserve"> (including with regard to the needs of gypsies and travellers)</w:t>
      </w:r>
      <w:r w:rsidR="003A0F7E">
        <w:rPr>
          <w:color w:val="000000"/>
        </w:rPr>
        <w:t xml:space="preserve"> </w:t>
      </w:r>
      <w:r w:rsidR="00F669F9">
        <w:rPr>
          <w:color w:val="000000"/>
        </w:rPr>
        <w:t xml:space="preserve">is </w:t>
      </w:r>
      <w:r w:rsidR="00BC6A62">
        <w:rPr>
          <w:color w:val="000000"/>
        </w:rPr>
        <w:t xml:space="preserve">in Accordance with the Adopted Core Strategy and is </w:t>
      </w:r>
      <w:r w:rsidR="000A7180">
        <w:rPr>
          <w:color w:val="000000"/>
        </w:rPr>
        <w:t>S</w:t>
      </w:r>
      <w:r w:rsidR="00F669F9">
        <w:rPr>
          <w:color w:val="000000"/>
        </w:rPr>
        <w:t>ound.</w:t>
      </w:r>
      <w:r w:rsidR="00B73253" w:rsidRPr="00FA0B0B">
        <w:rPr>
          <w:color w:val="000000"/>
        </w:rPr>
        <w:t xml:space="preserve"> </w:t>
      </w:r>
    </w:p>
    <w:p w:rsidR="003E26AE" w:rsidRPr="00225C39" w:rsidRDefault="003E26AE" w:rsidP="003E26AE">
      <w:pPr>
        <w:pStyle w:val="DPDIntro"/>
      </w:pPr>
      <w:r w:rsidRPr="00225C39">
        <w:t>The Relationship</w:t>
      </w:r>
      <w:r w:rsidR="00BE00A6">
        <w:t xml:space="preserve"> </w:t>
      </w:r>
      <w:proofErr w:type="gramStart"/>
      <w:r w:rsidRPr="00225C39">
        <w:t>Between</w:t>
      </w:r>
      <w:proofErr w:type="gramEnd"/>
      <w:r>
        <w:t xml:space="preserve"> the SADMP</w:t>
      </w:r>
      <w:r w:rsidR="00332274">
        <w:t>P</w:t>
      </w:r>
      <w:r w:rsidR="0008457F">
        <w:t xml:space="preserve">, </w:t>
      </w:r>
      <w:r>
        <w:t>the Adopted Core Strategy</w:t>
      </w:r>
      <w:r w:rsidR="0008457F">
        <w:t xml:space="preserve"> and Housing Need</w:t>
      </w:r>
    </w:p>
    <w:p w:rsidR="00777BEA" w:rsidRPr="00777BEA" w:rsidRDefault="00777BEA" w:rsidP="00EB0475">
      <w:pPr>
        <w:pStyle w:val="DPDIntro"/>
        <w:numPr>
          <w:ilvl w:val="0"/>
          <w:numId w:val="13"/>
        </w:numPr>
        <w:rPr>
          <w:b w:val="0"/>
          <w:color w:val="0000FF"/>
        </w:rPr>
      </w:pPr>
      <w:r>
        <w:rPr>
          <w:b w:val="0"/>
        </w:rPr>
        <w:t>Paragraph A.0.8</w:t>
      </w:r>
      <w:r w:rsidR="00EB0475" w:rsidRPr="00EB0475">
        <w:rPr>
          <w:b w:val="0"/>
        </w:rPr>
        <w:t xml:space="preserve"> of the SADMPP</w:t>
      </w:r>
      <w:r>
        <w:rPr>
          <w:b w:val="0"/>
        </w:rPr>
        <w:t xml:space="preserve"> makes it clear that the purpose of the Plan is ‘to complement and facilitate the implementation of the Core Strategy (CS) by providing detailed policies and guidance’ (including site specific policies and allocations).</w:t>
      </w:r>
      <w:r w:rsidR="00D72104">
        <w:rPr>
          <w:b w:val="0"/>
        </w:rPr>
        <w:t xml:space="preserve">  </w:t>
      </w:r>
      <w:r>
        <w:rPr>
          <w:b w:val="0"/>
        </w:rPr>
        <w:t>The objective is to deliver</w:t>
      </w:r>
      <w:r w:rsidR="00EB0475" w:rsidRPr="00EB0475">
        <w:rPr>
          <w:b w:val="0"/>
        </w:rPr>
        <w:t xml:space="preserve"> the CS policies through the p</w:t>
      </w:r>
      <w:r w:rsidR="00EB0475">
        <w:rPr>
          <w:b w:val="0"/>
        </w:rPr>
        <w:t>r</w:t>
      </w:r>
      <w:r w:rsidR="00EB0475" w:rsidRPr="00EB0475">
        <w:rPr>
          <w:b w:val="0"/>
        </w:rPr>
        <w:t>ovision of detailed development management policies and the allocation of development sites</w:t>
      </w:r>
      <w:r w:rsidR="00EB0475">
        <w:rPr>
          <w:b w:val="0"/>
        </w:rPr>
        <w:t>.</w:t>
      </w:r>
      <w:r>
        <w:rPr>
          <w:b w:val="0"/>
        </w:rPr>
        <w:t xml:space="preserve">  It is on that basis that I have conducted the Examination.</w:t>
      </w:r>
    </w:p>
    <w:p w:rsidR="00EB0475" w:rsidRPr="00EB0475" w:rsidRDefault="00EB0475" w:rsidP="00EB0475">
      <w:pPr>
        <w:pStyle w:val="DPDIntro"/>
        <w:numPr>
          <w:ilvl w:val="0"/>
          <w:numId w:val="13"/>
        </w:numPr>
        <w:rPr>
          <w:b w:val="0"/>
          <w:color w:val="0000FF"/>
        </w:rPr>
      </w:pPr>
      <w:r>
        <w:rPr>
          <w:b w:val="0"/>
        </w:rPr>
        <w:t xml:space="preserve">The CS was adopted in July 2011 and it sets out the broad development requirements for the Borough up to 2026 (the same end date applies to the SADMPP).  </w:t>
      </w:r>
      <w:r w:rsidR="003D594C">
        <w:rPr>
          <w:b w:val="0"/>
        </w:rPr>
        <w:t>T</w:t>
      </w:r>
      <w:r>
        <w:rPr>
          <w:b w:val="0"/>
        </w:rPr>
        <w:t>he lifespan of the SADMPP will therefore be only about 10 years (the NPPF suggests 15 years)</w:t>
      </w:r>
      <w:r w:rsidR="003D594C">
        <w:rPr>
          <w:b w:val="0"/>
        </w:rPr>
        <w:t>.  T</w:t>
      </w:r>
      <w:r>
        <w:rPr>
          <w:b w:val="0"/>
        </w:rPr>
        <w:t xml:space="preserve">he Council </w:t>
      </w:r>
      <w:r w:rsidR="003D594C">
        <w:rPr>
          <w:b w:val="0"/>
        </w:rPr>
        <w:t>is to commence</w:t>
      </w:r>
      <w:r>
        <w:rPr>
          <w:b w:val="0"/>
        </w:rPr>
        <w:t xml:space="preserve"> an immediate review of the</w:t>
      </w:r>
      <w:r w:rsidR="00DC5971">
        <w:rPr>
          <w:b w:val="0"/>
        </w:rPr>
        <w:t xml:space="preserve"> Local Plan (</w:t>
      </w:r>
      <w:r>
        <w:rPr>
          <w:b w:val="0"/>
        </w:rPr>
        <w:t>LP</w:t>
      </w:r>
      <w:r w:rsidR="00DC5971">
        <w:rPr>
          <w:b w:val="0"/>
        </w:rPr>
        <w:t>)</w:t>
      </w:r>
      <w:r w:rsidR="003D594C">
        <w:rPr>
          <w:b w:val="0"/>
        </w:rPr>
        <w:t xml:space="preserve"> and in the interests of clarity and effectiveness </w:t>
      </w:r>
      <w:r w:rsidR="00BB2150">
        <w:t>MM</w:t>
      </w:r>
      <w:r w:rsidR="0008457F">
        <w:t>3</w:t>
      </w:r>
      <w:r w:rsidR="00BB2150">
        <w:rPr>
          <w:b w:val="0"/>
        </w:rPr>
        <w:t xml:space="preserve"> is recommended accordingly. </w:t>
      </w:r>
    </w:p>
    <w:p w:rsidR="003E26AE" w:rsidRPr="0008457F" w:rsidRDefault="003E26AE" w:rsidP="003E26AE">
      <w:pPr>
        <w:pStyle w:val="DPDIntro"/>
        <w:numPr>
          <w:ilvl w:val="0"/>
          <w:numId w:val="13"/>
        </w:numPr>
        <w:rPr>
          <w:b w:val="0"/>
          <w:color w:val="0000FF"/>
        </w:rPr>
      </w:pPr>
      <w:r>
        <w:rPr>
          <w:b w:val="0"/>
        </w:rPr>
        <w:t xml:space="preserve">Concerns were expressed regarding the overall number of dwellings being proposed and in relation to some of the directions of growth being supported by the Council.  However, the housing figures being used are established in the adopted CS and the broad areas for urban expansion at King’s Lynn, </w:t>
      </w:r>
      <w:proofErr w:type="spellStart"/>
      <w:r>
        <w:rPr>
          <w:b w:val="0"/>
        </w:rPr>
        <w:t>Downham</w:t>
      </w:r>
      <w:proofErr w:type="spellEnd"/>
      <w:r>
        <w:rPr>
          <w:b w:val="0"/>
        </w:rPr>
        <w:t xml:space="preserve"> Market and Hunstanton are clearly illustrated in CS Inset figures 7, 9 and 10.</w:t>
      </w:r>
      <w:r w:rsidR="00F43F5D">
        <w:rPr>
          <w:b w:val="0"/>
        </w:rPr>
        <w:t xml:space="preserve">  The area for potential urban expansion to the east of </w:t>
      </w:r>
      <w:proofErr w:type="spellStart"/>
      <w:r w:rsidR="00F43F5D">
        <w:rPr>
          <w:b w:val="0"/>
        </w:rPr>
        <w:t>Wisbech</w:t>
      </w:r>
      <w:proofErr w:type="spellEnd"/>
      <w:r w:rsidR="00F43F5D">
        <w:rPr>
          <w:b w:val="0"/>
        </w:rPr>
        <w:t xml:space="preserve"> is shown on the CS Strategy Diagram.</w:t>
      </w:r>
      <w:r>
        <w:rPr>
          <w:b w:val="0"/>
        </w:rPr>
        <w:t xml:space="preserve">  I acknowledge that the CS is </w:t>
      </w:r>
      <w:r w:rsidR="00DF15BB">
        <w:rPr>
          <w:b w:val="0"/>
        </w:rPr>
        <w:t>5</w:t>
      </w:r>
      <w:r>
        <w:rPr>
          <w:b w:val="0"/>
        </w:rPr>
        <w:t xml:space="preserve"> years old but it is not before me for examination and there is no evidence that would lead me to conclude that the Council’s </w:t>
      </w:r>
      <w:r w:rsidR="00AF10E4">
        <w:rPr>
          <w:b w:val="0"/>
        </w:rPr>
        <w:t xml:space="preserve">broad </w:t>
      </w:r>
      <w:r>
        <w:rPr>
          <w:b w:val="0"/>
        </w:rPr>
        <w:t>approach is fundamentally flawed.</w:t>
      </w:r>
    </w:p>
    <w:p w:rsidR="0008457F" w:rsidRPr="00D95B73" w:rsidRDefault="0052663C" w:rsidP="003E26AE">
      <w:pPr>
        <w:pStyle w:val="DPDIntro"/>
        <w:numPr>
          <w:ilvl w:val="0"/>
          <w:numId w:val="13"/>
        </w:numPr>
        <w:rPr>
          <w:b w:val="0"/>
          <w:color w:val="0000FF"/>
        </w:rPr>
      </w:pPr>
      <w:r>
        <w:rPr>
          <w:b w:val="0"/>
        </w:rPr>
        <w:t xml:space="preserve">In order to strengthen the flexibility of the Council’s approach it is recommended in </w:t>
      </w:r>
      <w:r w:rsidR="0008457F">
        <w:t>MM1</w:t>
      </w:r>
      <w:r>
        <w:t xml:space="preserve"> </w:t>
      </w:r>
      <w:r>
        <w:rPr>
          <w:b w:val="0"/>
        </w:rPr>
        <w:t>that all the policies include the words ‘at least’ before the proposed number of dwellings.  This reflects the need for the SADMPP to be positively prepared.</w:t>
      </w:r>
    </w:p>
    <w:p w:rsidR="00DA34F1" w:rsidRPr="00461532" w:rsidRDefault="003E26AE" w:rsidP="00AF10E4">
      <w:pPr>
        <w:pStyle w:val="DPDIntro"/>
        <w:widowControl w:val="0"/>
        <w:numPr>
          <w:ilvl w:val="0"/>
          <w:numId w:val="13"/>
        </w:numPr>
        <w:rPr>
          <w:color w:val="000000"/>
        </w:rPr>
      </w:pPr>
      <w:r w:rsidRPr="00AF10E4">
        <w:rPr>
          <w:b w:val="0"/>
        </w:rPr>
        <w:t>A number of representors questioned the inclusion of more than one settlement in what is described as a ‘Key Rural Service Centre’ or a ‘Rural Village’ – for example West Walton and West Walton Highway are ‘combined’ for the purposes of allocating development.  I understand the concerns that were voiced but the settlement hierarchy is defined in policy CS02 of the adopted CS.  The opportunity to reconsider the settlement hierarchy (and the overall housing figures) will come when the LP is reviewed (</w:t>
      </w:r>
      <w:r w:rsidR="009F2E7D">
        <w:rPr>
          <w:b w:val="0"/>
        </w:rPr>
        <w:t>initial work on which has already started)</w:t>
      </w:r>
      <w:r w:rsidRPr="00AF10E4">
        <w:rPr>
          <w:b w:val="0"/>
        </w:rPr>
        <w:t>.  In the meantime the Council is correct to base the SADMP</w:t>
      </w:r>
      <w:r w:rsidR="00F43F5D" w:rsidRPr="00AF10E4">
        <w:rPr>
          <w:b w:val="0"/>
        </w:rPr>
        <w:t>P</w:t>
      </w:r>
      <w:r w:rsidRPr="00AF10E4">
        <w:rPr>
          <w:b w:val="0"/>
        </w:rPr>
        <w:t xml:space="preserve"> on the framework provided by the CS.</w:t>
      </w:r>
    </w:p>
    <w:p w:rsidR="0008457F" w:rsidRPr="0052663C" w:rsidRDefault="00461532" w:rsidP="0052663C">
      <w:pPr>
        <w:pStyle w:val="DPDIntro"/>
        <w:widowControl w:val="0"/>
        <w:numPr>
          <w:ilvl w:val="0"/>
          <w:numId w:val="13"/>
        </w:numPr>
        <w:rPr>
          <w:color w:val="000000"/>
        </w:rPr>
      </w:pPr>
      <w:r w:rsidRPr="0052663C">
        <w:rPr>
          <w:b w:val="0"/>
        </w:rPr>
        <w:t xml:space="preserve">The SADMPP includes </w:t>
      </w:r>
      <w:r w:rsidR="00D72104">
        <w:rPr>
          <w:b w:val="0"/>
        </w:rPr>
        <w:t xml:space="preserve">minor </w:t>
      </w:r>
      <w:r w:rsidRPr="0052663C">
        <w:rPr>
          <w:b w:val="0"/>
        </w:rPr>
        <w:t xml:space="preserve">amendments </w:t>
      </w:r>
      <w:r w:rsidR="00B16585" w:rsidRPr="0052663C">
        <w:rPr>
          <w:b w:val="0"/>
        </w:rPr>
        <w:t xml:space="preserve">to CS policy CS02 – the re-categorisation of </w:t>
      </w:r>
      <w:proofErr w:type="spellStart"/>
      <w:r w:rsidR="00B16585" w:rsidRPr="0052663C">
        <w:rPr>
          <w:b w:val="0"/>
        </w:rPr>
        <w:t>Emneth</w:t>
      </w:r>
      <w:proofErr w:type="spellEnd"/>
      <w:r w:rsidR="00B16585" w:rsidRPr="0052663C">
        <w:rPr>
          <w:b w:val="0"/>
        </w:rPr>
        <w:t xml:space="preserve"> from ‘a settlement adjacent to </w:t>
      </w:r>
      <w:proofErr w:type="spellStart"/>
      <w:r w:rsidR="00B16585" w:rsidRPr="0052663C">
        <w:rPr>
          <w:b w:val="0"/>
        </w:rPr>
        <w:t>Wisbech</w:t>
      </w:r>
      <w:proofErr w:type="spellEnd"/>
      <w:r w:rsidR="00B16585" w:rsidRPr="0052663C">
        <w:rPr>
          <w:b w:val="0"/>
        </w:rPr>
        <w:t xml:space="preserve">’ to a ‘key rural </w:t>
      </w:r>
      <w:r w:rsidR="00D72104">
        <w:rPr>
          <w:b w:val="0"/>
        </w:rPr>
        <w:t xml:space="preserve">service </w:t>
      </w:r>
      <w:r w:rsidR="00B16585" w:rsidRPr="0052663C">
        <w:rPr>
          <w:b w:val="0"/>
        </w:rPr>
        <w:t xml:space="preserve">centre’; and the inclusion of </w:t>
      </w:r>
      <w:proofErr w:type="spellStart"/>
      <w:r w:rsidR="00B16585" w:rsidRPr="0052663C">
        <w:rPr>
          <w:b w:val="0"/>
        </w:rPr>
        <w:t>Blackborough</w:t>
      </w:r>
      <w:proofErr w:type="spellEnd"/>
      <w:r w:rsidR="00B16585" w:rsidRPr="0052663C">
        <w:rPr>
          <w:b w:val="0"/>
        </w:rPr>
        <w:t xml:space="preserve"> End as a ‘smaller village and hamlet’.  The justification for the changes is clearly set out in the supporting text and no substantive evidence was submitted that would lead me to conclude that the Council’s approach is not sound.  </w:t>
      </w:r>
    </w:p>
    <w:p w:rsidR="00DA34F1" w:rsidRPr="0008457F" w:rsidRDefault="00DA34F1" w:rsidP="0008457F">
      <w:pPr>
        <w:pStyle w:val="DPDIntro"/>
        <w:widowControl w:val="0"/>
        <w:rPr>
          <w:color w:val="000000"/>
        </w:rPr>
      </w:pPr>
      <w:r>
        <w:lastRenderedPageBreak/>
        <w:t>Five Year Housing Supply</w:t>
      </w:r>
      <w:r w:rsidR="0052663C">
        <w:t xml:space="preserve"> and Windfall Development</w:t>
      </w:r>
    </w:p>
    <w:p w:rsidR="00DA34F1" w:rsidRPr="0052663C" w:rsidRDefault="00DA34F1" w:rsidP="00AF10E4">
      <w:pPr>
        <w:pStyle w:val="DPDIntro"/>
        <w:widowControl w:val="0"/>
        <w:numPr>
          <w:ilvl w:val="0"/>
          <w:numId w:val="13"/>
        </w:numPr>
        <w:rPr>
          <w:color w:val="000000"/>
        </w:rPr>
      </w:pPr>
      <w:r w:rsidRPr="00AF10E4">
        <w:rPr>
          <w:b w:val="0"/>
        </w:rPr>
        <w:t>The Borough Council</w:t>
      </w:r>
      <w:r w:rsidR="00BB2150">
        <w:rPr>
          <w:b w:val="0"/>
        </w:rPr>
        <w:t xml:space="preserve"> confirmed in the response to my Question 5</w:t>
      </w:r>
      <w:r w:rsidR="00BB2150">
        <w:rPr>
          <w:rStyle w:val="FootnoteReference"/>
          <w:b w:val="0"/>
        </w:rPr>
        <w:footnoteReference w:id="3"/>
      </w:r>
      <w:r w:rsidR="00BB2150">
        <w:rPr>
          <w:b w:val="0"/>
        </w:rPr>
        <w:t xml:space="preserve"> that</w:t>
      </w:r>
      <w:r w:rsidR="00BC2C1E">
        <w:rPr>
          <w:b w:val="0"/>
        </w:rPr>
        <w:t>,</w:t>
      </w:r>
      <w:r w:rsidR="00BB2150">
        <w:rPr>
          <w:b w:val="0"/>
        </w:rPr>
        <w:t xml:space="preserve"> </w:t>
      </w:r>
      <w:r w:rsidR="00FC59C7">
        <w:rPr>
          <w:b w:val="0"/>
        </w:rPr>
        <w:t>at that time</w:t>
      </w:r>
      <w:r w:rsidR="00BC2C1E">
        <w:rPr>
          <w:b w:val="0"/>
        </w:rPr>
        <w:t>,</w:t>
      </w:r>
      <w:r w:rsidR="00FC59C7">
        <w:rPr>
          <w:b w:val="0"/>
        </w:rPr>
        <w:t xml:space="preserve"> it was </w:t>
      </w:r>
      <w:r w:rsidRPr="00AF10E4">
        <w:rPr>
          <w:b w:val="0"/>
        </w:rPr>
        <w:t>unable to demonstrate a five year supply of housing</w:t>
      </w:r>
      <w:r w:rsidR="00BB2150">
        <w:rPr>
          <w:b w:val="0"/>
        </w:rPr>
        <w:t xml:space="preserve">.  However, </w:t>
      </w:r>
      <w:r w:rsidRPr="00AF10E4">
        <w:rPr>
          <w:b w:val="0"/>
        </w:rPr>
        <w:t>an explanation is given</w:t>
      </w:r>
      <w:r w:rsidR="00461532">
        <w:rPr>
          <w:b w:val="0"/>
        </w:rPr>
        <w:t xml:space="preserve"> in the Council’s response </w:t>
      </w:r>
      <w:r w:rsidRPr="00AF10E4">
        <w:rPr>
          <w:b w:val="0"/>
        </w:rPr>
        <w:t>as to the measures being taken to regain the ability to demonstrate the five year supply and of course the adoption of the SADMP</w:t>
      </w:r>
      <w:r w:rsidR="00F43F5D" w:rsidRPr="00AF10E4">
        <w:rPr>
          <w:b w:val="0"/>
        </w:rPr>
        <w:t>P</w:t>
      </w:r>
      <w:r w:rsidRPr="00AF10E4">
        <w:rPr>
          <w:b w:val="0"/>
        </w:rPr>
        <w:t xml:space="preserve"> will help</w:t>
      </w:r>
      <w:r w:rsidR="00BB2150">
        <w:rPr>
          <w:b w:val="0"/>
        </w:rPr>
        <w:t xml:space="preserve"> significantly</w:t>
      </w:r>
      <w:r w:rsidRPr="00AF10E4">
        <w:rPr>
          <w:b w:val="0"/>
        </w:rPr>
        <w:t xml:space="preserve"> in that regard</w:t>
      </w:r>
      <w:r w:rsidR="00FC59C7">
        <w:rPr>
          <w:rStyle w:val="FootnoteReference"/>
          <w:b w:val="0"/>
        </w:rPr>
        <w:footnoteReference w:id="4"/>
      </w:r>
      <w:r w:rsidRPr="00AF10E4">
        <w:rPr>
          <w:b w:val="0"/>
        </w:rPr>
        <w:t xml:space="preserve">.  On that basis and bearing in mind </w:t>
      </w:r>
      <w:r w:rsidR="009F2E7D">
        <w:rPr>
          <w:b w:val="0"/>
        </w:rPr>
        <w:t xml:space="preserve">the imminent </w:t>
      </w:r>
      <w:r w:rsidRPr="00AF10E4">
        <w:rPr>
          <w:b w:val="0"/>
        </w:rPr>
        <w:t>review of the LP</w:t>
      </w:r>
      <w:r w:rsidR="009F2E7D">
        <w:rPr>
          <w:b w:val="0"/>
        </w:rPr>
        <w:t>,</w:t>
      </w:r>
      <w:r w:rsidRPr="00AF10E4">
        <w:rPr>
          <w:b w:val="0"/>
        </w:rPr>
        <w:t xml:space="preserve"> I consider there would be little value in further delaying the adoption of the SADMP</w:t>
      </w:r>
      <w:r w:rsidR="00F43F5D" w:rsidRPr="00AF10E4">
        <w:rPr>
          <w:b w:val="0"/>
        </w:rPr>
        <w:t>P</w:t>
      </w:r>
      <w:r w:rsidRPr="00AF10E4">
        <w:rPr>
          <w:b w:val="0"/>
        </w:rPr>
        <w:t xml:space="preserve">.  This conclusion is strengthened by the fact that the Council is proposing ‘new’ or increased allocations at Denver, </w:t>
      </w:r>
      <w:proofErr w:type="spellStart"/>
      <w:r w:rsidR="00BB2150">
        <w:rPr>
          <w:b w:val="0"/>
        </w:rPr>
        <w:t>Feltwell</w:t>
      </w:r>
      <w:proofErr w:type="spellEnd"/>
      <w:r w:rsidR="009F2E7D">
        <w:rPr>
          <w:b w:val="0"/>
        </w:rPr>
        <w:t xml:space="preserve">, </w:t>
      </w:r>
      <w:r w:rsidR="00BB2150">
        <w:rPr>
          <w:b w:val="0"/>
        </w:rPr>
        <w:t>Terrington St John</w:t>
      </w:r>
      <w:r w:rsidR="009F2E7D">
        <w:rPr>
          <w:b w:val="0"/>
        </w:rPr>
        <w:t xml:space="preserve"> and </w:t>
      </w:r>
      <w:proofErr w:type="spellStart"/>
      <w:r w:rsidR="009F2E7D">
        <w:rPr>
          <w:b w:val="0"/>
        </w:rPr>
        <w:t>Wiggenhall</w:t>
      </w:r>
      <w:proofErr w:type="spellEnd"/>
      <w:r w:rsidR="009F2E7D">
        <w:rPr>
          <w:b w:val="0"/>
        </w:rPr>
        <w:t xml:space="preserve"> St Germans</w:t>
      </w:r>
      <w:r w:rsidRPr="00AF10E4">
        <w:rPr>
          <w:b w:val="0"/>
        </w:rPr>
        <w:t>; and introducing greater flexibility in the policies with regard to the capacity and density of development allocations.</w:t>
      </w:r>
      <w:r w:rsidR="00461532">
        <w:rPr>
          <w:b w:val="0"/>
        </w:rPr>
        <w:t xml:space="preserve">  I have attached weight to the fact that the number of dwellings in the allocation at Bankside, West Lynn will be reduced (see paragraph </w:t>
      </w:r>
      <w:r w:rsidR="00DC5971">
        <w:rPr>
          <w:b w:val="0"/>
        </w:rPr>
        <w:t>5</w:t>
      </w:r>
      <w:r w:rsidR="002C1321">
        <w:rPr>
          <w:b w:val="0"/>
        </w:rPr>
        <w:t>5</w:t>
      </w:r>
      <w:r w:rsidR="00461532">
        <w:rPr>
          <w:b w:val="0"/>
        </w:rPr>
        <w:t>) but I am satisfied that the resultant shortfall of 80 dwellings will be sufficiently made up by the changes to the allocations and policies referred to above.</w:t>
      </w:r>
    </w:p>
    <w:p w:rsidR="0052663C" w:rsidRPr="0008457F" w:rsidRDefault="0052663C" w:rsidP="00AF10E4">
      <w:pPr>
        <w:pStyle w:val="DPDIntro"/>
        <w:widowControl w:val="0"/>
        <w:numPr>
          <w:ilvl w:val="0"/>
          <w:numId w:val="13"/>
        </w:numPr>
        <w:rPr>
          <w:color w:val="000000"/>
        </w:rPr>
      </w:pPr>
      <w:r>
        <w:rPr>
          <w:b w:val="0"/>
        </w:rPr>
        <w:t>In order to up-date the situation it is necessary to amend the Summary Table in paragraph D.1.5 which sets out some housing statistics, including completions/commitments and allocations.  It is also justified to include a Windfall allowance</w:t>
      </w:r>
      <w:r w:rsidR="00D11479">
        <w:rPr>
          <w:b w:val="0"/>
        </w:rPr>
        <w:t xml:space="preserve"> (which is defined in the Glossary)</w:t>
      </w:r>
      <w:r>
        <w:rPr>
          <w:b w:val="0"/>
        </w:rPr>
        <w:t xml:space="preserve">, in line with paragraph 48 of the NPPF.  </w:t>
      </w:r>
      <w:r>
        <w:t>M</w:t>
      </w:r>
      <w:r w:rsidR="00DB7A82">
        <w:t>M</w:t>
      </w:r>
      <w:r>
        <w:t>16</w:t>
      </w:r>
      <w:r w:rsidR="00DB7A82">
        <w:t xml:space="preserve"> </w:t>
      </w:r>
      <w:r w:rsidR="00DB7A82">
        <w:rPr>
          <w:b w:val="0"/>
        </w:rPr>
        <w:t>is therefore recommended.</w:t>
      </w:r>
      <w:r w:rsidR="00D11479">
        <w:rPr>
          <w:b w:val="0"/>
        </w:rPr>
        <w:t xml:space="preserve">  It is noted that, following consideration of the responses to the MM consultation, the Council is proposing a minor change to remove the reference to development boundaries in paragraph D.1.8.</w:t>
      </w:r>
    </w:p>
    <w:p w:rsidR="0008457F" w:rsidRPr="0008457F" w:rsidRDefault="0008457F" w:rsidP="0008457F">
      <w:pPr>
        <w:pStyle w:val="DPDIntro"/>
        <w:widowControl w:val="0"/>
        <w:rPr>
          <w:color w:val="000000"/>
        </w:rPr>
      </w:pPr>
      <w:r>
        <w:t>Density</w:t>
      </w:r>
    </w:p>
    <w:p w:rsidR="0008457F" w:rsidRPr="00BB76F4" w:rsidRDefault="00DB7A82" w:rsidP="00AF10E4">
      <w:pPr>
        <w:pStyle w:val="DPDIntro"/>
        <w:widowControl w:val="0"/>
        <w:numPr>
          <w:ilvl w:val="0"/>
          <w:numId w:val="13"/>
        </w:numPr>
        <w:rPr>
          <w:b w:val="0"/>
          <w:color w:val="000000"/>
        </w:rPr>
      </w:pPr>
      <w:r>
        <w:rPr>
          <w:b w:val="0"/>
          <w:color w:val="000000"/>
        </w:rPr>
        <w:t>The Council’s approach towards the density of the residential allocations lacks clarity</w:t>
      </w:r>
      <w:r w:rsidR="00BB76F4">
        <w:rPr>
          <w:b w:val="0"/>
          <w:color w:val="000000"/>
        </w:rPr>
        <w:t xml:space="preserve">.  It is therefore proposed to provide additional supporting text which explains the broad justification for the densities proposed and </w:t>
      </w:r>
      <w:r w:rsidR="0008457F">
        <w:rPr>
          <w:color w:val="000000"/>
        </w:rPr>
        <w:t>MM17</w:t>
      </w:r>
      <w:r w:rsidR="00BB76F4">
        <w:rPr>
          <w:color w:val="000000"/>
        </w:rPr>
        <w:t xml:space="preserve"> </w:t>
      </w:r>
      <w:r w:rsidR="00BB76F4" w:rsidRPr="00BB76F4">
        <w:rPr>
          <w:b w:val="0"/>
          <w:color w:val="000000"/>
        </w:rPr>
        <w:t>is recommended accordingly.</w:t>
      </w:r>
    </w:p>
    <w:p w:rsidR="0008457F" w:rsidRPr="0008457F" w:rsidRDefault="0008457F" w:rsidP="0008457F">
      <w:pPr>
        <w:pStyle w:val="DPDIntro"/>
        <w:widowControl w:val="0"/>
        <w:rPr>
          <w:color w:val="000000"/>
        </w:rPr>
      </w:pPr>
      <w:r>
        <w:t>Brownfield Development</w:t>
      </w:r>
    </w:p>
    <w:p w:rsidR="0008457F" w:rsidRPr="00BB76F4" w:rsidRDefault="00BB76F4" w:rsidP="00AF10E4">
      <w:pPr>
        <w:pStyle w:val="DPDIntro"/>
        <w:widowControl w:val="0"/>
        <w:numPr>
          <w:ilvl w:val="0"/>
          <w:numId w:val="13"/>
        </w:numPr>
        <w:rPr>
          <w:color w:val="000000"/>
        </w:rPr>
      </w:pPr>
      <w:r w:rsidRPr="00BB76F4">
        <w:rPr>
          <w:b w:val="0"/>
          <w:color w:val="000000"/>
        </w:rPr>
        <w:t xml:space="preserve">The appropriate re-use of land that has been previously developed is </w:t>
      </w:r>
      <w:r w:rsidR="003D594C">
        <w:rPr>
          <w:b w:val="0"/>
          <w:color w:val="000000"/>
        </w:rPr>
        <w:t>a core planning principle</w:t>
      </w:r>
      <w:r w:rsidRPr="00BB76F4">
        <w:rPr>
          <w:b w:val="0"/>
          <w:color w:val="000000"/>
        </w:rPr>
        <w:t xml:space="preserve"> but there is little indication of the Council’s a</w:t>
      </w:r>
      <w:r w:rsidR="00DF15BB">
        <w:rPr>
          <w:b w:val="0"/>
          <w:color w:val="000000"/>
        </w:rPr>
        <w:t>ttitude</w:t>
      </w:r>
      <w:r w:rsidRPr="00BB76F4">
        <w:rPr>
          <w:b w:val="0"/>
          <w:color w:val="000000"/>
        </w:rPr>
        <w:t xml:space="preserve"> to this issue in the submitted Plan, although I acknowledge that the adopted CS refers to the matter.  Nevertheless the Council is proposing to include a new section of text entitled ‘Development on Brownfield Sites’ </w:t>
      </w:r>
      <w:r w:rsidR="00DF15BB">
        <w:rPr>
          <w:b w:val="0"/>
          <w:color w:val="000000"/>
        </w:rPr>
        <w:t xml:space="preserve">which explains the Council’s approach </w:t>
      </w:r>
      <w:r w:rsidRPr="00BB76F4">
        <w:rPr>
          <w:b w:val="0"/>
          <w:color w:val="000000"/>
        </w:rPr>
        <w:t xml:space="preserve">and I agree that this is justified and demonstrates that the SADMPP has been positively prepared in this respect.  </w:t>
      </w:r>
      <w:r w:rsidR="0008457F" w:rsidRPr="00BB76F4">
        <w:rPr>
          <w:color w:val="000000"/>
        </w:rPr>
        <w:t>MM18</w:t>
      </w:r>
      <w:r w:rsidRPr="00BB76F4">
        <w:rPr>
          <w:color w:val="000000"/>
        </w:rPr>
        <w:t xml:space="preserve"> </w:t>
      </w:r>
      <w:r w:rsidRPr="00BB76F4">
        <w:rPr>
          <w:b w:val="0"/>
          <w:color w:val="000000"/>
        </w:rPr>
        <w:t>is therefore recommended.</w:t>
      </w:r>
    </w:p>
    <w:p w:rsidR="00DA34F1" w:rsidRPr="00DA34F1" w:rsidRDefault="00DA34F1" w:rsidP="00DA34F1">
      <w:pPr>
        <w:pStyle w:val="DPDIntro"/>
        <w:widowControl w:val="0"/>
        <w:rPr>
          <w:color w:val="000000"/>
        </w:rPr>
      </w:pPr>
      <w:r>
        <w:t>Gyps</w:t>
      </w:r>
      <w:r w:rsidR="00A51406">
        <w:t>ie</w:t>
      </w:r>
      <w:r>
        <w:t>s and Travellers</w:t>
      </w:r>
    </w:p>
    <w:p w:rsidR="00DA34F1" w:rsidRPr="00DA34F1" w:rsidRDefault="00DA34F1" w:rsidP="00AA258E">
      <w:pPr>
        <w:pStyle w:val="DPDIntro"/>
        <w:widowControl w:val="0"/>
        <w:numPr>
          <w:ilvl w:val="0"/>
          <w:numId w:val="13"/>
        </w:numPr>
        <w:rPr>
          <w:b w:val="0"/>
          <w:color w:val="000000"/>
        </w:rPr>
      </w:pPr>
      <w:r w:rsidRPr="00DA34F1">
        <w:rPr>
          <w:b w:val="0"/>
          <w:color w:val="000000"/>
        </w:rPr>
        <w:t>The SADM</w:t>
      </w:r>
      <w:r w:rsidR="00332274">
        <w:rPr>
          <w:b w:val="0"/>
          <w:color w:val="000000"/>
        </w:rPr>
        <w:t>P</w:t>
      </w:r>
      <w:r w:rsidRPr="00DA34F1">
        <w:rPr>
          <w:b w:val="0"/>
          <w:color w:val="000000"/>
        </w:rPr>
        <w:t>P does not make reference to gyps</w:t>
      </w:r>
      <w:r w:rsidR="00A51406">
        <w:rPr>
          <w:b w:val="0"/>
          <w:color w:val="000000"/>
        </w:rPr>
        <w:t>ie</w:t>
      </w:r>
      <w:r w:rsidRPr="00DA34F1">
        <w:rPr>
          <w:b w:val="0"/>
          <w:color w:val="000000"/>
        </w:rPr>
        <w:t xml:space="preserve">s and travellers but the Council explained that for this matter it relies on CS policy CS09 which sets </w:t>
      </w:r>
      <w:r w:rsidRPr="00DA34F1">
        <w:rPr>
          <w:b w:val="0"/>
          <w:color w:val="000000"/>
        </w:rPr>
        <w:lastRenderedPageBreak/>
        <w:t>out the criteria against which any such proposal would be assessed</w:t>
      </w:r>
      <w:r>
        <w:rPr>
          <w:b w:val="0"/>
          <w:color w:val="000000"/>
        </w:rPr>
        <w:t>.  In response to my Question 2</w:t>
      </w:r>
      <w:r>
        <w:rPr>
          <w:rStyle w:val="FootnoteReference"/>
          <w:b w:val="0"/>
          <w:color w:val="000000"/>
        </w:rPr>
        <w:footnoteReference w:id="5"/>
      </w:r>
      <w:r>
        <w:rPr>
          <w:b w:val="0"/>
          <w:color w:val="000000"/>
        </w:rPr>
        <w:t xml:space="preserve"> the Council referred to the up-dated 2014 Gypsy and Traveller Accommodation Needs Assessment.  This estimates that 16 new pitches will be required in the Borough between 2013 and 2031 – just </w:t>
      </w:r>
      <w:r w:rsidR="000367DD">
        <w:rPr>
          <w:b w:val="0"/>
          <w:color w:val="000000"/>
        </w:rPr>
        <w:t>less than</w:t>
      </w:r>
      <w:r w:rsidR="00BE00A6">
        <w:rPr>
          <w:b w:val="0"/>
          <w:color w:val="000000"/>
        </w:rPr>
        <w:t xml:space="preserve"> </w:t>
      </w:r>
      <w:r>
        <w:rPr>
          <w:b w:val="0"/>
          <w:color w:val="000000"/>
        </w:rPr>
        <w:t>one a year.  Over the last four years, however, three pitches</w:t>
      </w:r>
      <w:r w:rsidR="00C35D3F">
        <w:rPr>
          <w:b w:val="0"/>
          <w:color w:val="000000"/>
        </w:rPr>
        <w:t xml:space="preserve"> have been approved each year.  With regard to travelling </w:t>
      </w:r>
      <w:proofErr w:type="spellStart"/>
      <w:r w:rsidR="00C35D3F">
        <w:rPr>
          <w:b w:val="0"/>
          <w:color w:val="000000"/>
        </w:rPr>
        <w:t>showpeople</w:t>
      </w:r>
      <w:proofErr w:type="spellEnd"/>
      <w:r w:rsidR="00C35D3F">
        <w:rPr>
          <w:b w:val="0"/>
          <w:color w:val="000000"/>
        </w:rPr>
        <w:t xml:space="preserve"> there is a need for up to 5 plots by 2021.</w:t>
      </w:r>
    </w:p>
    <w:p w:rsidR="00DA34F1" w:rsidRDefault="00C35D3F" w:rsidP="00AA258E">
      <w:pPr>
        <w:pStyle w:val="DPDIntro"/>
        <w:widowControl w:val="0"/>
        <w:numPr>
          <w:ilvl w:val="0"/>
          <w:numId w:val="13"/>
        </w:numPr>
        <w:rPr>
          <w:b w:val="0"/>
          <w:color w:val="000000"/>
        </w:rPr>
      </w:pPr>
      <w:r w:rsidRPr="00C35D3F">
        <w:rPr>
          <w:b w:val="0"/>
          <w:color w:val="000000"/>
        </w:rPr>
        <w:t>At the present time</w:t>
      </w:r>
      <w:r>
        <w:rPr>
          <w:b w:val="0"/>
          <w:color w:val="000000"/>
        </w:rPr>
        <w:t xml:space="preserve"> policy CS</w:t>
      </w:r>
      <w:r w:rsidR="00D72104">
        <w:rPr>
          <w:b w:val="0"/>
          <w:color w:val="000000"/>
        </w:rPr>
        <w:t>0</w:t>
      </w:r>
      <w:r>
        <w:rPr>
          <w:b w:val="0"/>
          <w:color w:val="000000"/>
        </w:rPr>
        <w:t>9 appears to be satisfactorily enabling the provision of pitches to meet need.  However, paragraph 9(b) of the Planning Policy for Traveller Sites</w:t>
      </w:r>
      <w:r>
        <w:rPr>
          <w:rStyle w:val="FootnoteReference"/>
          <w:b w:val="0"/>
          <w:color w:val="000000"/>
        </w:rPr>
        <w:footnoteReference w:id="6"/>
      </w:r>
      <w:r w:rsidR="00D57C22">
        <w:rPr>
          <w:b w:val="0"/>
          <w:color w:val="000000"/>
        </w:rPr>
        <w:t xml:space="preserve"> states that a supply of specific deliverable sites or broad locations should be identified for years 6 to 10 and where possible for years 11 to 15.  The Council has not done this.  However, in these circumstances where need is currently being exceeded, I consider that a pragmatic approach should be adopted, especially as the LP is to be reviewed shortly.  In these circumstances I do not consider the soundness of the SADMP</w:t>
      </w:r>
      <w:r w:rsidR="00F43F5D">
        <w:rPr>
          <w:b w:val="0"/>
          <w:color w:val="000000"/>
        </w:rPr>
        <w:t>P</w:t>
      </w:r>
      <w:r w:rsidR="00D57C22">
        <w:rPr>
          <w:b w:val="0"/>
          <w:color w:val="000000"/>
        </w:rPr>
        <w:t xml:space="preserve"> is significantly threatened but the onus will be on the Council to ensure that it fully complies with national policy on the matter in the preparation of the forthcoming review.</w:t>
      </w:r>
    </w:p>
    <w:p w:rsidR="00F43F5D" w:rsidRPr="00F43F5D" w:rsidRDefault="00F43F5D" w:rsidP="00F43F5D">
      <w:pPr>
        <w:pStyle w:val="DPDIntro"/>
        <w:widowControl w:val="0"/>
        <w:rPr>
          <w:color w:val="000000"/>
        </w:rPr>
      </w:pPr>
      <w:r>
        <w:rPr>
          <w:color w:val="000000"/>
        </w:rPr>
        <w:t>Conclusion on Issue 1</w:t>
      </w:r>
    </w:p>
    <w:p w:rsidR="00F43F5D" w:rsidRDefault="00F43F5D" w:rsidP="00AA258E">
      <w:pPr>
        <w:pStyle w:val="DPDIntro"/>
        <w:widowControl w:val="0"/>
        <w:numPr>
          <w:ilvl w:val="0"/>
          <w:numId w:val="13"/>
        </w:numPr>
        <w:rPr>
          <w:b w:val="0"/>
          <w:color w:val="000000"/>
        </w:rPr>
      </w:pPr>
      <w:r>
        <w:rPr>
          <w:b w:val="0"/>
          <w:color w:val="000000"/>
        </w:rPr>
        <w:t>The SADMPP satisfactorily reflects the policies of the adopted CS with regard to the amou</w:t>
      </w:r>
      <w:r w:rsidR="00332274">
        <w:rPr>
          <w:b w:val="0"/>
          <w:color w:val="000000"/>
        </w:rPr>
        <w:t>nt and distribution of housing and is sound.</w:t>
      </w:r>
    </w:p>
    <w:p w:rsidR="00DB1617" w:rsidRPr="00DB1617" w:rsidRDefault="00DB1617" w:rsidP="00DB1617">
      <w:pPr>
        <w:pStyle w:val="DPDIntro"/>
        <w:widowControl w:val="0"/>
        <w:rPr>
          <w:color w:val="000000"/>
        </w:rPr>
      </w:pPr>
      <w:r>
        <w:rPr>
          <w:color w:val="000000"/>
        </w:rPr>
        <w:t xml:space="preserve">Issue 2 – </w:t>
      </w:r>
      <w:r w:rsidR="003E26AE">
        <w:rPr>
          <w:color w:val="000000"/>
        </w:rPr>
        <w:t>W</w:t>
      </w:r>
      <w:r>
        <w:rPr>
          <w:color w:val="000000"/>
        </w:rPr>
        <w:t xml:space="preserve">hether or not the </w:t>
      </w:r>
      <w:r w:rsidR="003E26AE">
        <w:rPr>
          <w:color w:val="000000"/>
        </w:rPr>
        <w:t xml:space="preserve">Selection of Housing Sites has been based on a sound process of </w:t>
      </w:r>
      <w:r>
        <w:rPr>
          <w:color w:val="000000"/>
        </w:rPr>
        <w:t xml:space="preserve">Sustainability Appraisal and the </w:t>
      </w:r>
      <w:r w:rsidR="00332274">
        <w:rPr>
          <w:color w:val="000000"/>
        </w:rPr>
        <w:t>T</w:t>
      </w:r>
      <w:r>
        <w:rPr>
          <w:color w:val="000000"/>
        </w:rPr>
        <w:t xml:space="preserve">esting of </w:t>
      </w:r>
      <w:r w:rsidR="003E26AE">
        <w:rPr>
          <w:color w:val="000000"/>
        </w:rPr>
        <w:t>Reasonable A</w:t>
      </w:r>
      <w:r>
        <w:rPr>
          <w:color w:val="000000"/>
        </w:rPr>
        <w:t>lternative</w:t>
      </w:r>
      <w:r w:rsidR="003E26AE">
        <w:rPr>
          <w:color w:val="000000"/>
        </w:rPr>
        <w:t>s</w:t>
      </w:r>
    </w:p>
    <w:p w:rsidR="003E26AE" w:rsidRPr="0076159B" w:rsidRDefault="00332274" w:rsidP="003E26AE">
      <w:pPr>
        <w:pStyle w:val="DPDIntro"/>
      </w:pPr>
      <w:r>
        <w:t xml:space="preserve">The </w:t>
      </w:r>
      <w:r w:rsidR="003E26AE">
        <w:t>Sustainability Appraisal (SA)</w:t>
      </w:r>
    </w:p>
    <w:p w:rsidR="003E26AE" w:rsidRPr="00730FA3" w:rsidRDefault="003E26AE" w:rsidP="003E26AE">
      <w:pPr>
        <w:pStyle w:val="DPDIntro"/>
        <w:numPr>
          <w:ilvl w:val="0"/>
          <w:numId w:val="13"/>
        </w:numPr>
      </w:pPr>
      <w:r>
        <w:rPr>
          <w:b w:val="0"/>
        </w:rPr>
        <w:t>A number of respondents criticised the SA, including in relation to the options considered and the consistency of the site ‘scoring’ system.  In terms of the site options the Council considered a wide range of potential alternative development sites and I am satisfied that they are reasonable alternatives, that they are sufficiently distinct and that they are realistic and</w:t>
      </w:r>
      <w:r w:rsidR="00AF10E4">
        <w:rPr>
          <w:b w:val="0"/>
        </w:rPr>
        <w:t xml:space="preserve"> broadly</w:t>
      </w:r>
      <w:r>
        <w:rPr>
          <w:b w:val="0"/>
        </w:rPr>
        <w:t xml:space="preserve"> deliverable.  It is possible that that during the plan preparation process circumstances will change or new evidence about a site may arise.  Indeed even at the hearing </w:t>
      </w:r>
      <w:proofErr w:type="gramStart"/>
      <w:r>
        <w:rPr>
          <w:b w:val="0"/>
        </w:rPr>
        <w:t>sessions</w:t>
      </w:r>
      <w:proofErr w:type="gramEnd"/>
      <w:r>
        <w:rPr>
          <w:b w:val="0"/>
        </w:rPr>
        <w:t xml:space="preserve"> </w:t>
      </w:r>
      <w:r w:rsidR="00DC5971">
        <w:rPr>
          <w:b w:val="0"/>
        </w:rPr>
        <w:t>up-dated</w:t>
      </w:r>
      <w:r>
        <w:rPr>
          <w:b w:val="0"/>
        </w:rPr>
        <w:t xml:space="preserve"> evidence about sites was introduced.  However, this does not necessarily mean that the SA has to be revised.  Indeed the National Planning Practice Guidance (NPPG) confirms that even if a local plan is to be modified there may not be a need to amend the SA.  I consider that it would not be reasonable to expect the Council to review the SA in response to every change in circumstance</w:t>
      </w:r>
      <w:r w:rsidR="00332274">
        <w:rPr>
          <w:b w:val="0"/>
        </w:rPr>
        <w:t>.  B</w:t>
      </w:r>
      <w:r>
        <w:rPr>
          <w:b w:val="0"/>
        </w:rPr>
        <w:t xml:space="preserve">earing in mind the </w:t>
      </w:r>
      <w:r w:rsidR="00332274">
        <w:rPr>
          <w:b w:val="0"/>
        </w:rPr>
        <w:t>extensiveness</w:t>
      </w:r>
      <w:r>
        <w:rPr>
          <w:b w:val="0"/>
        </w:rPr>
        <w:t xml:space="preserve"> of the SA</w:t>
      </w:r>
      <w:r w:rsidR="00332274">
        <w:rPr>
          <w:b w:val="0"/>
        </w:rPr>
        <w:t xml:space="preserve"> s</w:t>
      </w:r>
      <w:r>
        <w:rPr>
          <w:b w:val="0"/>
        </w:rPr>
        <w:t xml:space="preserve">uch examples are not sufficiently widespread to cast doubt on the appraisal and site selection process as a whole and I conclude that the approach taken is appropriate and proportionate.  </w:t>
      </w:r>
    </w:p>
    <w:p w:rsidR="003E26AE" w:rsidRPr="00841504" w:rsidRDefault="003E26AE" w:rsidP="003E26AE">
      <w:pPr>
        <w:pStyle w:val="DPDIntro"/>
        <w:numPr>
          <w:ilvl w:val="0"/>
          <w:numId w:val="13"/>
        </w:numPr>
      </w:pPr>
      <w:r>
        <w:rPr>
          <w:b w:val="0"/>
        </w:rPr>
        <w:t>With regard to the scoring of sites, the SA sets out very clearly the approach taken to the whole process.</w:t>
      </w:r>
      <w:r w:rsidR="00D72104">
        <w:rPr>
          <w:b w:val="0"/>
        </w:rPr>
        <w:t xml:space="preserve"> </w:t>
      </w:r>
      <w:r>
        <w:rPr>
          <w:b w:val="0"/>
        </w:rPr>
        <w:t xml:space="preserve"> In essence sites were scored against 10 </w:t>
      </w:r>
      <w:r>
        <w:rPr>
          <w:b w:val="0"/>
        </w:rPr>
        <w:lastRenderedPageBreak/>
        <w:t xml:space="preserve">sustainability factors and then an explanation of the Council’s conclusion in relation to each settlement is given.  It is almost inevitable that when many sites are being considered in a single small settlement there may be little to differentiate one from another and a degree of planning judgement is required.  However, where that has been the case the Council has satisfactorily explained the conclusion that it has drawn and I am satisfied that the sites have been assessed as objectively as possible and that a fair comparison of sites has been achieved.  I am mindful that the SA should focus on what is needed to assess the likely </w:t>
      </w:r>
      <w:r>
        <w:rPr>
          <w:b w:val="0"/>
          <w:i/>
        </w:rPr>
        <w:t>significant</w:t>
      </w:r>
      <w:r>
        <w:rPr>
          <w:b w:val="0"/>
        </w:rPr>
        <w:t xml:space="preserve"> effects of the SADMP</w:t>
      </w:r>
      <w:r w:rsidR="00332274">
        <w:rPr>
          <w:b w:val="0"/>
        </w:rPr>
        <w:t>P</w:t>
      </w:r>
      <w:r>
        <w:rPr>
          <w:b w:val="0"/>
        </w:rPr>
        <w:t xml:space="preserve"> and that it does not need to be done in more detail, or using more resources, than is considered appropriate.  The Council has satisfactorily followed this advice.</w:t>
      </w:r>
    </w:p>
    <w:p w:rsidR="003E26AE" w:rsidRDefault="003E26AE" w:rsidP="003E26AE">
      <w:pPr>
        <w:pStyle w:val="DPDIntro"/>
      </w:pPr>
      <w:r>
        <w:t>Flood Risk</w:t>
      </w:r>
    </w:p>
    <w:p w:rsidR="003E26AE" w:rsidRPr="00841504" w:rsidRDefault="003E26AE" w:rsidP="003E26AE">
      <w:pPr>
        <w:pStyle w:val="DPDIntro"/>
        <w:numPr>
          <w:ilvl w:val="0"/>
          <w:numId w:val="13"/>
        </w:numPr>
        <w:rPr>
          <w:b w:val="0"/>
        </w:rPr>
      </w:pPr>
      <w:r w:rsidRPr="00841504">
        <w:rPr>
          <w:b w:val="0"/>
        </w:rPr>
        <w:t xml:space="preserve">Concerns were raised regarding the Council’s approach to issues of flood risk.  Consequently I asked the Council to explain how such issues would be addressed </w:t>
      </w:r>
      <w:r>
        <w:rPr>
          <w:b w:val="0"/>
        </w:rPr>
        <w:t xml:space="preserve">in the development management process </w:t>
      </w:r>
      <w:r w:rsidRPr="00841504">
        <w:rPr>
          <w:b w:val="0"/>
        </w:rPr>
        <w:t>and to consider whether or not sufficient flexibility was embedded in the SADMP</w:t>
      </w:r>
      <w:r w:rsidR="00332274">
        <w:rPr>
          <w:b w:val="0"/>
        </w:rPr>
        <w:t>P</w:t>
      </w:r>
      <w:r w:rsidRPr="00841504">
        <w:rPr>
          <w:b w:val="0"/>
        </w:rPr>
        <w:t xml:space="preserve"> should housing numbers not be met on a</w:t>
      </w:r>
      <w:r>
        <w:rPr>
          <w:b w:val="0"/>
        </w:rPr>
        <w:t xml:space="preserve"> particular site as a consequence of flood risk issues.</w:t>
      </w:r>
      <w:r w:rsidRPr="00841504">
        <w:rPr>
          <w:b w:val="0"/>
        </w:rPr>
        <w:t xml:space="preserve"> </w:t>
      </w:r>
      <w:r>
        <w:rPr>
          <w:b w:val="0"/>
        </w:rPr>
        <w:t xml:space="preserve"> The Council prepared a detailed schedule of all allocated sites at risk from flooding</w:t>
      </w:r>
      <w:r>
        <w:rPr>
          <w:rStyle w:val="FootnoteReference"/>
          <w:b w:val="0"/>
        </w:rPr>
        <w:footnoteReference w:id="7"/>
      </w:r>
      <w:r>
        <w:rPr>
          <w:b w:val="0"/>
        </w:rPr>
        <w:t xml:space="preserve"> and summarised the comments made by the relevant consultees.  It is clear that the Council works satisfactorily with the Environment Agency, the Middle Level Commissioners, the Internal Drainage Boards, Anglian Water Services and Norfolk County Council and I note that there were no objections to any of the allocations from the Environment Agency.</w:t>
      </w:r>
    </w:p>
    <w:p w:rsidR="00DB1617" w:rsidRPr="00D72104" w:rsidRDefault="003E26AE" w:rsidP="003E26AE">
      <w:pPr>
        <w:pStyle w:val="DPDIntro"/>
        <w:widowControl w:val="0"/>
        <w:numPr>
          <w:ilvl w:val="0"/>
          <w:numId w:val="13"/>
        </w:numPr>
        <w:rPr>
          <w:b w:val="0"/>
          <w:color w:val="000000"/>
        </w:rPr>
      </w:pPr>
      <w:r w:rsidRPr="003E26AE">
        <w:rPr>
          <w:b w:val="0"/>
        </w:rPr>
        <w:t>Should it be found that an allocated site could not accommodate the proposed level of development because of flood risk issues, it is important that the SADMP</w:t>
      </w:r>
      <w:r w:rsidR="00332274">
        <w:rPr>
          <w:b w:val="0"/>
        </w:rPr>
        <w:t>P</w:t>
      </w:r>
      <w:r w:rsidRPr="003E26AE">
        <w:rPr>
          <w:b w:val="0"/>
        </w:rPr>
        <w:t xml:space="preserve"> incorporates sufficient flexibility to address such a situation.  To this end it is proposed to allocate </w:t>
      </w:r>
      <w:r w:rsidR="0008457F">
        <w:rPr>
          <w:b w:val="0"/>
        </w:rPr>
        <w:t xml:space="preserve">some </w:t>
      </w:r>
      <w:r w:rsidRPr="003E26AE">
        <w:rPr>
          <w:b w:val="0"/>
        </w:rPr>
        <w:t xml:space="preserve">additional land </w:t>
      </w:r>
      <w:r w:rsidR="0008457F">
        <w:rPr>
          <w:b w:val="0"/>
        </w:rPr>
        <w:t>for housing and</w:t>
      </w:r>
      <w:r w:rsidRPr="003E26AE">
        <w:rPr>
          <w:b w:val="0"/>
        </w:rPr>
        <w:t xml:space="preserve"> also to ensure that the wording of each allocation policy incorporates sufficient flexibility, for example by prefacing the proposed number of dwellings by the term ‘at least’</w:t>
      </w:r>
      <w:r w:rsidR="00BB76F4">
        <w:rPr>
          <w:b w:val="0"/>
        </w:rPr>
        <w:t xml:space="preserve"> (see paragraph </w:t>
      </w:r>
      <w:r w:rsidR="00DC5971">
        <w:rPr>
          <w:b w:val="0"/>
        </w:rPr>
        <w:t>2</w:t>
      </w:r>
      <w:r w:rsidR="002C1321">
        <w:rPr>
          <w:b w:val="0"/>
        </w:rPr>
        <w:t>1</w:t>
      </w:r>
      <w:r w:rsidR="00BB76F4">
        <w:rPr>
          <w:b w:val="0"/>
        </w:rPr>
        <w:t>).</w:t>
      </w:r>
      <w:r w:rsidR="00DC5971">
        <w:rPr>
          <w:b w:val="0"/>
        </w:rPr>
        <w:t xml:space="preserve">  In this regard the plan is sound.</w:t>
      </w:r>
    </w:p>
    <w:p w:rsidR="00CE0A44" w:rsidRPr="00CE0A44" w:rsidRDefault="00CE0A44" w:rsidP="00CE0A44">
      <w:pPr>
        <w:pStyle w:val="DPDIntro"/>
        <w:widowControl w:val="0"/>
        <w:rPr>
          <w:color w:val="000000"/>
        </w:rPr>
      </w:pPr>
      <w:r>
        <w:t>Highway Capacity</w:t>
      </w:r>
    </w:p>
    <w:p w:rsidR="000E4159" w:rsidRPr="00EA5ED4" w:rsidRDefault="00CE0A44" w:rsidP="003E26AE">
      <w:pPr>
        <w:pStyle w:val="DPDIntro"/>
        <w:widowControl w:val="0"/>
        <w:numPr>
          <w:ilvl w:val="0"/>
          <w:numId w:val="13"/>
        </w:numPr>
        <w:rPr>
          <w:b w:val="0"/>
          <w:color w:val="000000"/>
        </w:rPr>
      </w:pPr>
      <w:r>
        <w:rPr>
          <w:b w:val="0"/>
        </w:rPr>
        <w:t xml:space="preserve">There is a perception that throughout the Borough, but particularly with regard to roads in and around King’s Lynn, the level of traffic is already the cause of significant delays, particularly during peak hours and that the development of further housing will only exacerbate the situation.  I understand the frustration this can cause to residents and local </w:t>
      </w:r>
      <w:r w:rsidR="000E4159">
        <w:rPr>
          <w:b w:val="0"/>
        </w:rPr>
        <w:t>businesses and I am mindful that the NPPF confirms that transport policies have an important role in facilitating sustainable development.</w:t>
      </w:r>
    </w:p>
    <w:p w:rsidR="001E17A3" w:rsidRPr="001E17A3" w:rsidRDefault="00EA5ED4" w:rsidP="003E26AE">
      <w:pPr>
        <w:pStyle w:val="DPDIntro"/>
        <w:widowControl w:val="0"/>
        <w:numPr>
          <w:ilvl w:val="0"/>
          <w:numId w:val="13"/>
        </w:numPr>
        <w:rPr>
          <w:b w:val="0"/>
          <w:color w:val="000000"/>
        </w:rPr>
      </w:pPr>
      <w:r>
        <w:rPr>
          <w:b w:val="0"/>
        </w:rPr>
        <w:t>The starting point in the consideration of this issue is the CS which sets out the spatial strategy for the Borough and identifies the broad locations for growth.  Policy CS11 sets out the Council’s approach and confirms that priority will be given to improving the strategic networks, including the provision of a number of by-passes and junction improvements.</w:t>
      </w:r>
      <w:r w:rsidR="00C2686F">
        <w:rPr>
          <w:b w:val="0"/>
        </w:rPr>
        <w:t xml:space="preserve">  It is clear from the CS Inspector’s Report that he considered a number of transport related matters but concluded that in this respect the CS </w:t>
      </w:r>
      <w:r w:rsidR="00AF10E4">
        <w:rPr>
          <w:b w:val="0"/>
        </w:rPr>
        <w:t>was</w:t>
      </w:r>
      <w:r w:rsidR="00C2686F">
        <w:rPr>
          <w:b w:val="0"/>
        </w:rPr>
        <w:t xml:space="preserve"> sound.</w:t>
      </w:r>
    </w:p>
    <w:p w:rsidR="00EA5ED4" w:rsidRPr="000E4159" w:rsidRDefault="001E17A3" w:rsidP="003E26AE">
      <w:pPr>
        <w:pStyle w:val="DPDIntro"/>
        <w:widowControl w:val="0"/>
        <w:numPr>
          <w:ilvl w:val="0"/>
          <w:numId w:val="13"/>
        </w:numPr>
        <w:rPr>
          <w:b w:val="0"/>
          <w:color w:val="000000"/>
        </w:rPr>
      </w:pPr>
      <w:r>
        <w:rPr>
          <w:b w:val="0"/>
        </w:rPr>
        <w:lastRenderedPageBreak/>
        <w:t>I accept that the situation has changed since 2011 but the Council</w:t>
      </w:r>
      <w:r w:rsidR="00AF10E4">
        <w:rPr>
          <w:b w:val="0"/>
        </w:rPr>
        <w:t xml:space="preserve"> </w:t>
      </w:r>
      <w:r>
        <w:rPr>
          <w:b w:val="0"/>
        </w:rPr>
        <w:t>has provided a range of evidence (including in response to my Question 4 to the Council) to demonstrate that the impact of growth on the road network can be satisfactorily accommodated.</w:t>
      </w:r>
      <w:r w:rsidR="00EA5ED4">
        <w:rPr>
          <w:b w:val="0"/>
        </w:rPr>
        <w:t xml:space="preserve">  </w:t>
      </w:r>
    </w:p>
    <w:p w:rsidR="00FC1B9B" w:rsidRPr="00FC1B9B" w:rsidRDefault="00FC59C7" w:rsidP="003E26AE">
      <w:pPr>
        <w:pStyle w:val="DPDIntro"/>
        <w:widowControl w:val="0"/>
        <w:numPr>
          <w:ilvl w:val="0"/>
          <w:numId w:val="13"/>
        </w:numPr>
        <w:rPr>
          <w:b w:val="0"/>
          <w:color w:val="000000"/>
        </w:rPr>
      </w:pPr>
      <w:r>
        <w:rPr>
          <w:b w:val="0"/>
        </w:rPr>
        <w:t xml:space="preserve">With reference </w:t>
      </w:r>
      <w:proofErr w:type="gramStart"/>
      <w:r>
        <w:rPr>
          <w:b w:val="0"/>
        </w:rPr>
        <w:t>to</w:t>
      </w:r>
      <w:proofErr w:type="gramEnd"/>
      <w:r>
        <w:rPr>
          <w:b w:val="0"/>
        </w:rPr>
        <w:t xml:space="preserve"> the A47/A10/A149 Hardwick junction, w</w:t>
      </w:r>
      <w:r w:rsidR="000E4159">
        <w:rPr>
          <w:b w:val="0"/>
        </w:rPr>
        <w:t>ork on transport modelling and assessment has been carried out on behalf of Highways England, the County Council (as Highway Authority) and the Borough Council.  The focus was on</w:t>
      </w:r>
      <w:r w:rsidR="00C2686F">
        <w:rPr>
          <w:b w:val="0"/>
        </w:rPr>
        <w:t xml:space="preserve"> the implications of development </w:t>
      </w:r>
      <w:r w:rsidR="00FC1B9B">
        <w:rPr>
          <w:b w:val="0"/>
        </w:rPr>
        <w:t>and the Hardwick Transport Strategy (May 2015) concludes that there are three potential strategies (which are costed) that could be adopted for the interchange.  I am satisfied that the evidence demonstrates that improvements can be made to the interchange that will satisfactorily accommodate increased vehicular movements as a result of the proposed growth.</w:t>
      </w:r>
    </w:p>
    <w:p w:rsidR="0086257C" w:rsidRPr="0086257C" w:rsidRDefault="00FC1B9B" w:rsidP="003E26AE">
      <w:pPr>
        <w:pStyle w:val="DPDIntro"/>
        <w:widowControl w:val="0"/>
        <w:numPr>
          <w:ilvl w:val="0"/>
          <w:numId w:val="13"/>
        </w:numPr>
        <w:rPr>
          <w:b w:val="0"/>
          <w:color w:val="000000"/>
        </w:rPr>
      </w:pPr>
      <w:r>
        <w:rPr>
          <w:b w:val="0"/>
        </w:rPr>
        <w:t xml:space="preserve">In terms of delivering highways improvements </w:t>
      </w:r>
      <w:r w:rsidR="008524EA">
        <w:rPr>
          <w:b w:val="0"/>
        </w:rPr>
        <w:t xml:space="preserve">I note that Appendix 2 to the Infrastructure Study (May 2015) lists projects that are ‘potentially critical to the delivery of growth across the Borough’.  These include improvements to the King’s Lynn Gyratory; the West Winch link road; and </w:t>
      </w:r>
      <w:r w:rsidR="005D7774">
        <w:rPr>
          <w:b w:val="0"/>
        </w:rPr>
        <w:t xml:space="preserve">the </w:t>
      </w:r>
      <w:r w:rsidR="008524EA">
        <w:rPr>
          <w:b w:val="0"/>
        </w:rPr>
        <w:t>Hardwick interchange.</w:t>
      </w:r>
      <w:r w:rsidR="005D7774">
        <w:rPr>
          <w:b w:val="0"/>
        </w:rPr>
        <w:t xml:space="preserve">  Policy E2.1 – West Winch Growth Area, specifically refers to the need for the link road and local highway improvements including consideration of the Hardwick interchange.  It is also a </w:t>
      </w:r>
      <w:r w:rsidR="00595910">
        <w:rPr>
          <w:b w:val="0"/>
        </w:rPr>
        <w:t xml:space="preserve">policy </w:t>
      </w:r>
      <w:r w:rsidR="005D7774">
        <w:rPr>
          <w:b w:val="0"/>
        </w:rPr>
        <w:t>requirement that a comprehensive strategic transportation plan for the area be prepared (to include consideration of the interchange)</w:t>
      </w:r>
      <w:r w:rsidR="00595910">
        <w:rPr>
          <w:b w:val="0"/>
        </w:rPr>
        <w:t xml:space="preserve"> and</w:t>
      </w:r>
      <w:r w:rsidR="005D7774">
        <w:rPr>
          <w:b w:val="0"/>
        </w:rPr>
        <w:t xml:space="preserve"> that an Infrastructure Delivery Plan</w:t>
      </w:r>
      <w:r w:rsidR="00595910">
        <w:rPr>
          <w:b w:val="0"/>
        </w:rPr>
        <w:t xml:space="preserve"> is submitted.  </w:t>
      </w:r>
    </w:p>
    <w:p w:rsidR="00CE0A44" w:rsidRPr="001E17A3" w:rsidRDefault="0086257C" w:rsidP="003E26AE">
      <w:pPr>
        <w:pStyle w:val="DPDIntro"/>
        <w:widowControl w:val="0"/>
        <w:numPr>
          <w:ilvl w:val="0"/>
          <w:numId w:val="13"/>
        </w:numPr>
        <w:rPr>
          <w:b w:val="0"/>
          <w:color w:val="000000"/>
        </w:rPr>
      </w:pPr>
      <w:r>
        <w:rPr>
          <w:b w:val="0"/>
        </w:rPr>
        <w:t>With regard to the other two major edge-of-settlement allocations t</w:t>
      </w:r>
      <w:r w:rsidR="00595910">
        <w:rPr>
          <w:b w:val="0"/>
        </w:rPr>
        <w:t>he policy for land at Hall Lane, South Wootton, requires the submission of a comprehensive transport assessment</w:t>
      </w:r>
      <w:r>
        <w:rPr>
          <w:b w:val="0"/>
        </w:rPr>
        <w:t>.  However,</w:t>
      </w:r>
      <w:r w:rsidR="00595910">
        <w:rPr>
          <w:b w:val="0"/>
        </w:rPr>
        <w:t xml:space="preserve"> there is currently no such requirement for </w:t>
      </w:r>
      <w:r>
        <w:rPr>
          <w:b w:val="0"/>
        </w:rPr>
        <w:t>the</w:t>
      </w:r>
      <w:r w:rsidR="00595910">
        <w:rPr>
          <w:b w:val="0"/>
        </w:rPr>
        <w:t xml:space="preserve"> site</w:t>
      </w:r>
      <w:r w:rsidR="00DC5971">
        <w:rPr>
          <w:b w:val="0"/>
        </w:rPr>
        <w:t xml:space="preserve"> at Knights Hill (policy E4.1</w:t>
      </w:r>
      <w:r>
        <w:rPr>
          <w:b w:val="0"/>
        </w:rPr>
        <w:t>)</w:t>
      </w:r>
      <w:r w:rsidR="00595910">
        <w:rPr>
          <w:b w:val="0"/>
        </w:rPr>
        <w:t xml:space="preserve">.  In the interests of consistency and </w:t>
      </w:r>
      <w:r>
        <w:rPr>
          <w:b w:val="0"/>
        </w:rPr>
        <w:t>to ensure that the Council’s approach is justified i</w:t>
      </w:r>
      <w:r w:rsidR="00595910">
        <w:rPr>
          <w:b w:val="0"/>
        </w:rPr>
        <w:t>t is therefore recommended</w:t>
      </w:r>
      <w:r>
        <w:rPr>
          <w:b w:val="0"/>
        </w:rPr>
        <w:t xml:space="preserve"> that a requirement for a</w:t>
      </w:r>
      <w:r w:rsidR="00B147C7">
        <w:rPr>
          <w:b w:val="0"/>
        </w:rPr>
        <w:t xml:space="preserve"> comprehensive</w:t>
      </w:r>
      <w:r>
        <w:rPr>
          <w:b w:val="0"/>
        </w:rPr>
        <w:t xml:space="preserve"> transport assessment is added to polic</w:t>
      </w:r>
      <w:r w:rsidR="00016C35">
        <w:rPr>
          <w:b w:val="0"/>
        </w:rPr>
        <w:t>y</w:t>
      </w:r>
      <w:r>
        <w:rPr>
          <w:b w:val="0"/>
        </w:rPr>
        <w:t xml:space="preserve"> E4.1</w:t>
      </w:r>
      <w:r w:rsidR="00C2686F">
        <w:rPr>
          <w:b w:val="0"/>
        </w:rPr>
        <w:t xml:space="preserve"> </w:t>
      </w:r>
      <w:r w:rsidR="00016C35">
        <w:rPr>
          <w:b w:val="0"/>
        </w:rPr>
        <w:t>(</w:t>
      </w:r>
      <w:r w:rsidR="00B147C7">
        <w:rPr>
          <w:b w:val="0"/>
        </w:rPr>
        <w:t xml:space="preserve">part of </w:t>
      </w:r>
      <w:r w:rsidR="00016C35">
        <w:t>MM</w:t>
      </w:r>
      <w:r w:rsidR="0008457F">
        <w:t>29</w:t>
      </w:r>
      <w:r w:rsidR="00016C35">
        <w:rPr>
          <w:b w:val="0"/>
        </w:rPr>
        <w:t>).</w:t>
      </w:r>
      <w:r w:rsidR="000E4159">
        <w:rPr>
          <w:b w:val="0"/>
        </w:rPr>
        <w:t xml:space="preserve"> </w:t>
      </w:r>
    </w:p>
    <w:p w:rsidR="001E17A3" w:rsidRPr="00332274" w:rsidRDefault="001E17A3" w:rsidP="003E26AE">
      <w:pPr>
        <w:pStyle w:val="DPDIntro"/>
        <w:widowControl w:val="0"/>
        <w:numPr>
          <w:ilvl w:val="0"/>
          <w:numId w:val="13"/>
        </w:numPr>
        <w:rPr>
          <w:b w:val="0"/>
          <w:color w:val="000000"/>
        </w:rPr>
      </w:pPr>
      <w:r>
        <w:rPr>
          <w:b w:val="0"/>
        </w:rPr>
        <w:t>I note that there are no objections to the Council’s approach from either Highways England or the County Council as Highways Authority and I am satisfied that policies will be in place to ensure that issues relating to the implications of growth on the highway network will be satisfactorily addressed.</w:t>
      </w:r>
    </w:p>
    <w:p w:rsidR="00332274" w:rsidRPr="00332274" w:rsidRDefault="00332274" w:rsidP="00332274">
      <w:pPr>
        <w:pStyle w:val="DPDIntro"/>
        <w:widowControl w:val="0"/>
        <w:rPr>
          <w:color w:val="000000"/>
        </w:rPr>
      </w:pPr>
      <w:r>
        <w:t>Conclusion on Issue 2</w:t>
      </w:r>
    </w:p>
    <w:p w:rsidR="00BE00A6" w:rsidRPr="00DF15BB" w:rsidRDefault="00332274" w:rsidP="00BE00A6">
      <w:pPr>
        <w:pStyle w:val="DPDIntro"/>
        <w:widowControl w:val="0"/>
        <w:numPr>
          <w:ilvl w:val="0"/>
          <w:numId w:val="13"/>
        </w:numPr>
        <w:rPr>
          <w:b w:val="0"/>
          <w:color w:val="000000"/>
        </w:rPr>
      </w:pPr>
      <w:r w:rsidRPr="00DF15BB">
        <w:rPr>
          <w:b w:val="0"/>
          <w:color w:val="000000"/>
        </w:rPr>
        <w:t xml:space="preserve">The approach of the Council towards the selection of housing sites has been sufficiently thorough, proportionate and justified and in all respects is sound. </w:t>
      </w:r>
    </w:p>
    <w:p w:rsidR="00DB1617" w:rsidRDefault="003E26AE" w:rsidP="003E26AE">
      <w:pPr>
        <w:pStyle w:val="DPDIntro"/>
        <w:widowControl w:val="0"/>
        <w:rPr>
          <w:b w:val="0"/>
          <w:color w:val="000000"/>
        </w:rPr>
      </w:pPr>
      <w:r w:rsidRPr="00F669F9">
        <w:rPr>
          <w:color w:val="000000"/>
        </w:rPr>
        <w:t xml:space="preserve">Issue </w:t>
      </w:r>
      <w:r>
        <w:rPr>
          <w:color w:val="000000"/>
        </w:rPr>
        <w:t>3</w:t>
      </w:r>
      <w:r w:rsidRPr="00F669F9">
        <w:rPr>
          <w:color w:val="000000"/>
        </w:rPr>
        <w:t xml:space="preserve"> – Whether or not the </w:t>
      </w:r>
      <w:r>
        <w:rPr>
          <w:color w:val="000000"/>
        </w:rPr>
        <w:t xml:space="preserve">Policies, including the </w:t>
      </w:r>
      <w:r w:rsidRPr="00F669F9">
        <w:rPr>
          <w:color w:val="000000"/>
        </w:rPr>
        <w:t>Allocations</w:t>
      </w:r>
      <w:r>
        <w:rPr>
          <w:color w:val="000000"/>
        </w:rPr>
        <w:t>,</w:t>
      </w:r>
      <w:r w:rsidRPr="00F669F9">
        <w:rPr>
          <w:color w:val="000000"/>
        </w:rPr>
        <w:t xml:space="preserve"> for King’s Lynn and the Surrounding Area are </w:t>
      </w:r>
      <w:proofErr w:type="gramStart"/>
      <w:r>
        <w:rPr>
          <w:color w:val="000000"/>
        </w:rPr>
        <w:t>Justified</w:t>
      </w:r>
      <w:proofErr w:type="gramEnd"/>
      <w:r w:rsidRPr="00F669F9">
        <w:rPr>
          <w:color w:val="000000"/>
        </w:rPr>
        <w:t>.</w:t>
      </w:r>
    </w:p>
    <w:p w:rsidR="00F669F9" w:rsidRPr="009F5AF7" w:rsidRDefault="003E26AE" w:rsidP="00DA34F1">
      <w:pPr>
        <w:pStyle w:val="DPDIntro"/>
        <w:widowControl w:val="0"/>
        <w:numPr>
          <w:ilvl w:val="0"/>
          <w:numId w:val="13"/>
        </w:numPr>
        <w:rPr>
          <w:color w:val="000000"/>
        </w:rPr>
      </w:pPr>
      <w:r w:rsidRPr="003E26AE">
        <w:rPr>
          <w:b w:val="0"/>
          <w:color w:val="000000"/>
        </w:rPr>
        <w:t>As concluded above the SADM</w:t>
      </w:r>
      <w:r w:rsidR="00AF10E4">
        <w:rPr>
          <w:b w:val="0"/>
          <w:color w:val="000000"/>
        </w:rPr>
        <w:t>P</w:t>
      </w:r>
      <w:r w:rsidRPr="003E26AE">
        <w:rPr>
          <w:b w:val="0"/>
          <w:color w:val="000000"/>
        </w:rPr>
        <w:t>P is sound in principle.  Accordingly the following sections only consider the specific points about the allocations that give rise to concern about potential unsoundness.</w:t>
      </w:r>
    </w:p>
    <w:p w:rsidR="009F5AF7" w:rsidRPr="003E26AE" w:rsidRDefault="009F5AF7" w:rsidP="00DA34F1">
      <w:pPr>
        <w:pStyle w:val="DPDIntro"/>
        <w:widowControl w:val="0"/>
        <w:numPr>
          <w:ilvl w:val="0"/>
          <w:numId w:val="13"/>
        </w:numPr>
        <w:rPr>
          <w:color w:val="000000"/>
        </w:rPr>
      </w:pPr>
      <w:r>
        <w:rPr>
          <w:b w:val="0"/>
          <w:color w:val="000000"/>
        </w:rPr>
        <w:t xml:space="preserve">The Council has provided confirmation that all the allocated sites are available and deliverable and it is on that basis that the following paragraphs should be </w:t>
      </w:r>
      <w:r>
        <w:rPr>
          <w:b w:val="0"/>
          <w:color w:val="000000"/>
        </w:rPr>
        <w:lastRenderedPageBreak/>
        <w:t>read.</w:t>
      </w:r>
    </w:p>
    <w:p w:rsidR="004363A1" w:rsidRPr="002129A9" w:rsidRDefault="003A0F7E" w:rsidP="002129A9">
      <w:pPr>
        <w:pStyle w:val="DPDIssueSubheading"/>
      </w:pPr>
      <w:r w:rsidRPr="002129A9">
        <w:t xml:space="preserve">King’s Lynn </w:t>
      </w:r>
    </w:p>
    <w:p w:rsidR="002129A9" w:rsidRPr="00DB1EE2" w:rsidRDefault="00507273" w:rsidP="002129A9">
      <w:pPr>
        <w:pStyle w:val="DPDIntro"/>
        <w:widowControl w:val="0"/>
        <w:numPr>
          <w:ilvl w:val="0"/>
          <w:numId w:val="13"/>
        </w:numPr>
        <w:rPr>
          <w:b w:val="0"/>
        </w:rPr>
      </w:pPr>
      <w:r w:rsidRPr="00DB1EE2">
        <w:rPr>
          <w:b w:val="0"/>
        </w:rPr>
        <w:t>King’s Lynn is identified as a Sub-Regional Centre in the CS and it acts as the focus of growth in the Borough</w:t>
      </w:r>
      <w:r w:rsidR="00A46522" w:rsidRPr="00DB1EE2">
        <w:rPr>
          <w:b w:val="0"/>
        </w:rPr>
        <w:t>.</w:t>
      </w:r>
      <w:r w:rsidRPr="00DB1EE2">
        <w:rPr>
          <w:b w:val="0"/>
        </w:rPr>
        <w:t xml:space="preserve">  Figures 7 and 8 in the CS identify the broad areas for residential and employment expansion, together with other strategic objectives.</w:t>
      </w:r>
      <w:r w:rsidR="00DB1EE2" w:rsidRPr="00DB1EE2">
        <w:rPr>
          <w:b w:val="0"/>
        </w:rPr>
        <w:t xml:space="preserve">  It is against the background provided by the CS that the following </w:t>
      </w:r>
      <w:r w:rsidR="0008457F">
        <w:rPr>
          <w:b w:val="0"/>
        </w:rPr>
        <w:t>matters have been addressed</w:t>
      </w:r>
      <w:r w:rsidR="00DB1EE2" w:rsidRPr="00DB1EE2">
        <w:rPr>
          <w:b w:val="0"/>
        </w:rPr>
        <w:t>.</w:t>
      </w:r>
    </w:p>
    <w:p w:rsidR="002129A9" w:rsidRPr="002129A9" w:rsidRDefault="002129A9" w:rsidP="002129A9">
      <w:pPr>
        <w:pStyle w:val="DPDIntro"/>
        <w:widowControl w:val="0"/>
        <w:rPr>
          <w:b w:val="0"/>
          <w:i/>
        </w:rPr>
      </w:pPr>
      <w:r>
        <w:rPr>
          <w:b w:val="0"/>
          <w:i/>
        </w:rPr>
        <w:t>Housing</w:t>
      </w:r>
    </w:p>
    <w:p w:rsidR="00AF10E4" w:rsidRDefault="00DB1EE2" w:rsidP="002129A9">
      <w:pPr>
        <w:pStyle w:val="DPDIntro"/>
        <w:widowControl w:val="0"/>
        <w:numPr>
          <w:ilvl w:val="0"/>
          <w:numId w:val="13"/>
        </w:numPr>
        <w:rPr>
          <w:b w:val="0"/>
        </w:rPr>
      </w:pPr>
      <w:r>
        <w:rPr>
          <w:b w:val="0"/>
        </w:rPr>
        <w:t xml:space="preserve">The CS requires the </w:t>
      </w:r>
      <w:r w:rsidR="00D72104">
        <w:rPr>
          <w:b w:val="0"/>
        </w:rPr>
        <w:t>provision of at least 7,510</w:t>
      </w:r>
      <w:r>
        <w:rPr>
          <w:b w:val="0"/>
        </w:rPr>
        <w:t xml:space="preserve"> new dwellings in the plan period</w:t>
      </w:r>
      <w:r w:rsidR="00D72104">
        <w:rPr>
          <w:b w:val="0"/>
        </w:rPr>
        <w:t xml:space="preserve"> in the King’s Lynn area and in </w:t>
      </w:r>
      <w:r>
        <w:rPr>
          <w:b w:val="0"/>
        </w:rPr>
        <w:t xml:space="preserve">particular at the </w:t>
      </w:r>
      <w:r w:rsidR="00AF10E4">
        <w:rPr>
          <w:b w:val="0"/>
        </w:rPr>
        <w:t xml:space="preserve">four </w:t>
      </w:r>
      <w:r>
        <w:rPr>
          <w:b w:val="0"/>
        </w:rPr>
        <w:t xml:space="preserve">strategic locations </w:t>
      </w:r>
      <w:r w:rsidR="00AF10E4">
        <w:rPr>
          <w:b w:val="0"/>
        </w:rPr>
        <w:t>identified in CS03.  I consider the</w:t>
      </w:r>
      <w:r w:rsidR="00D72104">
        <w:rPr>
          <w:b w:val="0"/>
        </w:rPr>
        <w:t>se</w:t>
      </w:r>
      <w:r w:rsidR="00AF10E4">
        <w:rPr>
          <w:b w:val="0"/>
        </w:rPr>
        <w:t xml:space="preserve"> locations later in this Report.</w:t>
      </w:r>
    </w:p>
    <w:p w:rsidR="00776B49" w:rsidRDefault="00AF10E4" w:rsidP="00AD6C8E">
      <w:pPr>
        <w:pStyle w:val="DPDIntro"/>
        <w:widowControl w:val="0"/>
        <w:numPr>
          <w:ilvl w:val="0"/>
          <w:numId w:val="13"/>
        </w:numPr>
        <w:rPr>
          <w:b w:val="0"/>
        </w:rPr>
      </w:pPr>
      <w:r w:rsidRPr="00AD6C8E">
        <w:rPr>
          <w:b w:val="0"/>
        </w:rPr>
        <w:t xml:space="preserve">In terms of the 8 allocations in </w:t>
      </w:r>
      <w:r w:rsidR="00E57F74">
        <w:rPr>
          <w:b w:val="0"/>
        </w:rPr>
        <w:t xml:space="preserve">the town of </w:t>
      </w:r>
      <w:r w:rsidRPr="00AD6C8E">
        <w:rPr>
          <w:b w:val="0"/>
        </w:rPr>
        <w:t>King’s Lynn</w:t>
      </w:r>
      <w:r w:rsidR="00A01302" w:rsidRPr="00AD6C8E">
        <w:rPr>
          <w:b w:val="0"/>
        </w:rPr>
        <w:t xml:space="preserve"> the evidence demonstrates that they are sustainable, viable and deliverable.  Concerns were raised for example regarding flood risk, highway implications, loss of open space and impact on heritage assets.</w:t>
      </w:r>
      <w:r w:rsidR="00AD6C8E" w:rsidRPr="00AD6C8E">
        <w:rPr>
          <w:b w:val="0"/>
        </w:rPr>
        <w:t xml:space="preserve">  However, where these may be significant</w:t>
      </w:r>
      <w:r w:rsidR="00AD6C8E">
        <w:rPr>
          <w:b w:val="0"/>
        </w:rPr>
        <w:t xml:space="preserve"> </w:t>
      </w:r>
      <w:r w:rsidR="00AD6C8E" w:rsidRPr="00AD6C8E">
        <w:rPr>
          <w:b w:val="0"/>
        </w:rPr>
        <w:t>issues the relevant policy identifies</w:t>
      </w:r>
      <w:r w:rsidR="00AD6C8E">
        <w:rPr>
          <w:b w:val="0"/>
        </w:rPr>
        <w:t xml:space="preserve"> how they should be addressed.  So for example</w:t>
      </w:r>
      <w:r w:rsidR="00E57F74">
        <w:rPr>
          <w:b w:val="0"/>
        </w:rPr>
        <w:t xml:space="preserve"> t</w:t>
      </w:r>
      <w:r w:rsidR="00AD6C8E">
        <w:rPr>
          <w:b w:val="0"/>
        </w:rPr>
        <w:t>he allocation at Boal Quay</w:t>
      </w:r>
      <w:r w:rsidR="00E57F74">
        <w:rPr>
          <w:b w:val="0"/>
        </w:rPr>
        <w:t xml:space="preserve"> (policy E1.5)</w:t>
      </w:r>
      <w:r w:rsidR="00AD6C8E">
        <w:rPr>
          <w:b w:val="0"/>
        </w:rPr>
        <w:t xml:space="preserve"> requires the submission of an Archaeological Assessment and an Ecological Study.  </w:t>
      </w:r>
      <w:r w:rsidR="00E57F74">
        <w:rPr>
          <w:b w:val="0"/>
        </w:rPr>
        <w:t xml:space="preserve">Concerns were raised regarding the protection of </w:t>
      </w:r>
      <w:r w:rsidR="0008457F">
        <w:rPr>
          <w:b w:val="0"/>
        </w:rPr>
        <w:t>heritage assets</w:t>
      </w:r>
      <w:r w:rsidR="00E57F74">
        <w:rPr>
          <w:b w:val="0"/>
        </w:rPr>
        <w:t xml:space="preserve"> but</w:t>
      </w:r>
      <w:r w:rsidR="0008457F">
        <w:rPr>
          <w:b w:val="0"/>
        </w:rPr>
        <w:t xml:space="preserve"> </w:t>
      </w:r>
      <w:r w:rsidR="00AD6C8E">
        <w:rPr>
          <w:b w:val="0"/>
        </w:rPr>
        <w:t xml:space="preserve">CS policy CS12 affords appropriate protection to </w:t>
      </w:r>
      <w:r w:rsidR="00776B49">
        <w:rPr>
          <w:b w:val="0"/>
        </w:rPr>
        <w:t>the historic and built environment</w:t>
      </w:r>
      <w:r w:rsidR="00AD6C8E">
        <w:rPr>
          <w:b w:val="0"/>
        </w:rPr>
        <w:t>.</w:t>
      </w:r>
    </w:p>
    <w:p w:rsidR="00977ECA" w:rsidRDefault="00E57F74" w:rsidP="00AD6C8E">
      <w:pPr>
        <w:pStyle w:val="DPDIntro"/>
        <w:widowControl w:val="0"/>
        <w:numPr>
          <w:ilvl w:val="0"/>
          <w:numId w:val="13"/>
        </w:numPr>
        <w:rPr>
          <w:b w:val="0"/>
        </w:rPr>
      </w:pPr>
      <w:r>
        <w:rPr>
          <w:b w:val="0"/>
        </w:rPr>
        <w:t>Since the SADMPP was submitted, planning permission has been granted for 130 dwellings at Marsh Lane (policy</w:t>
      </w:r>
      <w:r w:rsidRPr="00E57F74">
        <w:rPr>
          <w:b w:val="0"/>
        </w:rPr>
        <w:t xml:space="preserve"> </w:t>
      </w:r>
      <w:r>
        <w:rPr>
          <w:b w:val="0"/>
        </w:rPr>
        <w:t>E1.4</w:t>
      </w:r>
      <w:r w:rsidR="00D72104">
        <w:rPr>
          <w:b w:val="0"/>
        </w:rPr>
        <w:t xml:space="preserve"> which proposed about 170 dwellings)</w:t>
      </w:r>
      <w:r>
        <w:rPr>
          <w:b w:val="0"/>
        </w:rPr>
        <w:t xml:space="preserve"> and in response to the results of public consultation the area of land </w:t>
      </w:r>
      <w:r w:rsidR="00977ECA">
        <w:rPr>
          <w:b w:val="0"/>
        </w:rPr>
        <w:t xml:space="preserve">(and the proposed number of dwellings) </w:t>
      </w:r>
      <w:r>
        <w:rPr>
          <w:b w:val="0"/>
        </w:rPr>
        <w:t xml:space="preserve">allocated at </w:t>
      </w:r>
      <w:proofErr w:type="spellStart"/>
      <w:r w:rsidR="00977ECA">
        <w:rPr>
          <w:b w:val="0"/>
        </w:rPr>
        <w:t>Lynnsport</w:t>
      </w:r>
      <w:proofErr w:type="spellEnd"/>
      <w:r w:rsidR="004E3148">
        <w:rPr>
          <w:b w:val="0"/>
        </w:rPr>
        <w:t xml:space="preserve"> (policy E1.7)</w:t>
      </w:r>
      <w:r w:rsidR="00977ECA">
        <w:rPr>
          <w:b w:val="0"/>
        </w:rPr>
        <w:t xml:space="preserve"> has </w:t>
      </w:r>
      <w:r w:rsidR="009C5888">
        <w:rPr>
          <w:b w:val="0"/>
        </w:rPr>
        <w:t xml:space="preserve">also </w:t>
      </w:r>
      <w:r w:rsidR="00DC5971">
        <w:rPr>
          <w:b w:val="0"/>
        </w:rPr>
        <w:t xml:space="preserve">justifiably </w:t>
      </w:r>
      <w:r w:rsidR="00977ECA">
        <w:rPr>
          <w:b w:val="0"/>
        </w:rPr>
        <w:t>been reduced.</w:t>
      </w:r>
      <w:r w:rsidR="00DC5971">
        <w:rPr>
          <w:b w:val="0"/>
        </w:rPr>
        <w:t xml:space="preserve">  The SADMPP should reflect this situation and therefore </w:t>
      </w:r>
      <w:r w:rsidR="00DC5971">
        <w:t>MM21</w:t>
      </w:r>
      <w:r w:rsidR="00DC5971">
        <w:rPr>
          <w:b w:val="0"/>
        </w:rPr>
        <w:t xml:space="preserve"> and </w:t>
      </w:r>
      <w:r w:rsidR="00DC5971">
        <w:t>MM22</w:t>
      </w:r>
      <w:r w:rsidR="00DC5971">
        <w:rPr>
          <w:b w:val="0"/>
        </w:rPr>
        <w:t xml:space="preserve"> are recommended.</w:t>
      </w:r>
    </w:p>
    <w:p w:rsidR="00E57F74" w:rsidRPr="00977ECA" w:rsidRDefault="009C5888" w:rsidP="00AD6C8E">
      <w:pPr>
        <w:pStyle w:val="DPDIntro"/>
        <w:widowControl w:val="0"/>
        <w:numPr>
          <w:ilvl w:val="0"/>
          <w:numId w:val="13"/>
        </w:numPr>
        <w:rPr>
          <w:b w:val="0"/>
        </w:rPr>
      </w:pPr>
      <w:r>
        <w:rPr>
          <w:b w:val="0"/>
        </w:rPr>
        <w:t>W</w:t>
      </w:r>
      <w:r w:rsidR="00977ECA" w:rsidRPr="00977ECA">
        <w:rPr>
          <w:b w:val="0"/>
        </w:rPr>
        <w:t xml:space="preserve">ith the reduction in numbers at the two sites referred to above (and at West Lynn – see paragraph </w:t>
      </w:r>
      <w:r w:rsidR="00963EAA">
        <w:rPr>
          <w:b w:val="0"/>
        </w:rPr>
        <w:t>5</w:t>
      </w:r>
      <w:r w:rsidR="002C1321">
        <w:rPr>
          <w:b w:val="0"/>
        </w:rPr>
        <w:t>5</w:t>
      </w:r>
      <w:r w:rsidR="00977ECA" w:rsidRPr="00977ECA">
        <w:rPr>
          <w:b w:val="0"/>
        </w:rPr>
        <w:t>) the total provision</w:t>
      </w:r>
      <w:r>
        <w:rPr>
          <w:b w:val="0"/>
        </w:rPr>
        <w:t xml:space="preserve"> in the King’s Lynn area</w:t>
      </w:r>
      <w:r w:rsidR="00977ECA" w:rsidRPr="00977ECA">
        <w:rPr>
          <w:b w:val="0"/>
        </w:rPr>
        <w:t xml:space="preserve"> over the plan period is now estimated at 7,421 dwellings (see table in MM16).  This is a shortfall of just over 1%.  However, when considering the plan area as a whole there are increases in the level of development at a number of </w:t>
      </w:r>
      <w:r>
        <w:rPr>
          <w:b w:val="0"/>
        </w:rPr>
        <w:t xml:space="preserve">other </w:t>
      </w:r>
      <w:r w:rsidR="00977ECA" w:rsidRPr="00977ECA">
        <w:rPr>
          <w:b w:val="0"/>
        </w:rPr>
        <w:t>settlements.  The consequence is that the total number of dwellings completed, committed or allocated</w:t>
      </w:r>
      <w:r w:rsidR="000F3492">
        <w:rPr>
          <w:b w:val="0"/>
        </w:rPr>
        <w:t xml:space="preserve"> in the Borough</w:t>
      </w:r>
      <w:r w:rsidR="00977ECA" w:rsidRPr="00977ECA">
        <w:rPr>
          <w:b w:val="0"/>
        </w:rPr>
        <w:t xml:space="preserve"> is 16,449 and this rises to 19,335 if the windfall allowance is taken into account.  The evidence satisfactorily demonstrates that, even with the reduction in numbers at the sites referred to above, the CS requirement of 16,500 new dwellings is likely to be exceeded.</w:t>
      </w:r>
      <w:r w:rsidR="00E57F74" w:rsidRPr="00977ECA">
        <w:rPr>
          <w:b w:val="0"/>
        </w:rPr>
        <w:t xml:space="preserve"> </w:t>
      </w:r>
    </w:p>
    <w:p w:rsidR="002129A9" w:rsidRPr="004E3148" w:rsidRDefault="00977ECA" w:rsidP="000F3492">
      <w:pPr>
        <w:pStyle w:val="DPDIntro"/>
        <w:widowControl w:val="0"/>
        <w:numPr>
          <w:ilvl w:val="0"/>
          <w:numId w:val="13"/>
        </w:numPr>
        <w:rPr>
          <w:b w:val="0"/>
        </w:rPr>
      </w:pPr>
      <w:r w:rsidRPr="004E3148">
        <w:rPr>
          <w:b w:val="0"/>
        </w:rPr>
        <w:t>On this basis t</w:t>
      </w:r>
      <w:r w:rsidR="00776B49" w:rsidRPr="004E3148">
        <w:rPr>
          <w:b w:val="0"/>
        </w:rPr>
        <w:t>he approach to the allocation of housing sites in King’s Lynn is justified.</w:t>
      </w:r>
      <w:r w:rsidR="00A01302" w:rsidRPr="004E3148">
        <w:rPr>
          <w:b w:val="0"/>
        </w:rPr>
        <w:t xml:space="preserve"> </w:t>
      </w:r>
      <w:r w:rsidR="00DB1EE2" w:rsidRPr="004E3148">
        <w:rPr>
          <w:b w:val="0"/>
        </w:rPr>
        <w:t xml:space="preserve"> </w:t>
      </w:r>
    </w:p>
    <w:p w:rsidR="002129A9" w:rsidRPr="002129A9" w:rsidRDefault="002129A9" w:rsidP="002129A9">
      <w:pPr>
        <w:pStyle w:val="DPDIntro"/>
        <w:widowControl w:val="0"/>
        <w:rPr>
          <w:b w:val="0"/>
          <w:i/>
        </w:rPr>
      </w:pPr>
      <w:r>
        <w:rPr>
          <w:b w:val="0"/>
          <w:i/>
        </w:rPr>
        <w:t>Employment</w:t>
      </w:r>
      <w:r w:rsidR="00DE12F5">
        <w:rPr>
          <w:b w:val="0"/>
          <w:i/>
        </w:rPr>
        <w:t xml:space="preserve"> including King’s Lynn Port</w:t>
      </w:r>
    </w:p>
    <w:p w:rsidR="002129A9" w:rsidRDefault="00FC5455" w:rsidP="002129A9">
      <w:pPr>
        <w:pStyle w:val="DPDIntro"/>
        <w:widowControl w:val="0"/>
        <w:numPr>
          <w:ilvl w:val="0"/>
          <w:numId w:val="13"/>
        </w:numPr>
        <w:rPr>
          <w:b w:val="0"/>
        </w:rPr>
      </w:pPr>
      <w:r>
        <w:rPr>
          <w:b w:val="0"/>
        </w:rPr>
        <w:t xml:space="preserve">CS policy CS10 proposes about 50ha of employment land in King’s Lynn.  Two sites are allocated in the SADMPP at Hardwick (27 ha) and Saddlebow (23ha).  Although I was told that the main landowners at Hardwick entered </w:t>
      </w:r>
      <w:r>
        <w:rPr>
          <w:b w:val="0"/>
        </w:rPr>
        <w:lastRenderedPageBreak/>
        <w:t>administration in 2014, outline planning permission was granted in 2012 and no evidence was submitted that would lead me to conclude that there is a significant risk to the delivery of either site.</w:t>
      </w:r>
    </w:p>
    <w:p w:rsidR="00D04F69" w:rsidRPr="00D04F69" w:rsidRDefault="00D04F69" w:rsidP="00D04F69">
      <w:pPr>
        <w:pStyle w:val="DPDIntro"/>
        <w:widowControl w:val="0"/>
        <w:numPr>
          <w:ilvl w:val="0"/>
          <w:numId w:val="13"/>
        </w:numPr>
        <w:rPr>
          <w:b w:val="0"/>
        </w:rPr>
      </w:pPr>
      <w:r w:rsidRPr="00D04F69">
        <w:rPr>
          <w:b w:val="0"/>
        </w:rPr>
        <w:t xml:space="preserve">The SADMPP refers, in the supporting text, to protecting and supporting King’s Lynn port in its role ‘as a strategic transport hub’.  There is no reference to its role as a source of employment.  This is a significant shortcoming in the Plan </w:t>
      </w:r>
      <w:r>
        <w:rPr>
          <w:b w:val="0"/>
        </w:rPr>
        <w:t>because it</w:t>
      </w:r>
      <w:r w:rsidRPr="00D04F69">
        <w:rPr>
          <w:b w:val="0"/>
        </w:rPr>
        <w:t xml:space="preserve"> do</w:t>
      </w:r>
      <w:r>
        <w:rPr>
          <w:b w:val="0"/>
        </w:rPr>
        <w:t>e</w:t>
      </w:r>
      <w:r w:rsidRPr="00D04F69">
        <w:rPr>
          <w:b w:val="0"/>
        </w:rPr>
        <w:t>s not reflect</w:t>
      </w:r>
      <w:r>
        <w:rPr>
          <w:b w:val="0"/>
        </w:rPr>
        <w:t xml:space="preserve"> the need to secure economic growth</w:t>
      </w:r>
      <w:r w:rsidR="00E508A4">
        <w:rPr>
          <w:b w:val="0"/>
        </w:rPr>
        <w:t>, recognise the port’s role in serving businesses</w:t>
      </w:r>
      <w:r>
        <w:rPr>
          <w:b w:val="0"/>
        </w:rPr>
        <w:t xml:space="preserve"> </w:t>
      </w:r>
      <w:r w:rsidR="00E508A4">
        <w:rPr>
          <w:b w:val="0"/>
        </w:rPr>
        <w:t>or afford</w:t>
      </w:r>
      <w:r>
        <w:rPr>
          <w:b w:val="0"/>
        </w:rPr>
        <w:t xml:space="preserve"> support </w:t>
      </w:r>
      <w:r w:rsidR="00E508A4">
        <w:rPr>
          <w:b w:val="0"/>
        </w:rPr>
        <w:t xml:space="preserve">to </w:t>
      </w:r>
      <w:r>
        <w:rPr>
          <w:b w:val="0"/>
        </w:rPr>
        <w:t xml:space="preserve">sustainable development at </w:t>
      </w:r>
      <w:r w:rsidR="00E508A4">
        <w:rPr>
          <w:b w:val="0"/>
        </w:rPr>
        <w:t xml:space="preserve">the </w:t>
      </w:r>
      <w:r>
        <w:rPr>
          <w:b w:val="0"/>
        </w:rPr>
        <w:t>port</w:t>
      </w:r>
      <w:r w:rsidR="00E508A4">
        <w:rPr>
          <w:b w:val="0"/>
        </w:rPr>
        <w:t>.  To rectify the situation it is recommended that a new policy and supporting text</w:t>
      </w:r>
      <w:r w:rsidR="00B147C7">
        <w:rPr>
          <w:b w:val="0"/>
        </w:rPr>
        <w:t xml:space="preserve"> relating to the Port</w:t>
      </w:r>
      <w:r w:rsidR="00E508A4">
        <w:rPr>
          <w:b w:val="0"/>
        </w:rPr>
        <w:t xml:space="preserve"> is included in the Plan (</w:t>
      </w:r>
      <w:r w:rsidR="00E508A4">
        <w:t>MM</w:t>
      </w:r>
      <w:r w:rsidR="0008457F">
        <w:t>20</w:t>
      </w:r>
      <w:r w:rsidR="00E508A4">
        <w:rPr>
          <w:b w:val="0"/>
        </w:rPr>
        <w:t>)</w:t>
      </w:r>
      <w:r w:rsidR="00E95F39">
        <w:rPr>
          <w:b w:val="0"/>
        </w:rPr>
        <w:t xml:space="preserve"> </w:t>
      </w:r>
      <w:r w:rsidR="00EB2732">
        <w:rPr>
          <w:b w:val="0"/>
        </w:rPr>
        <w:t xml:space="preserve">and that reference to development at the Port is </w:t>
      </w:r>
      <w:r w:rsidR="000F3492">
        <w:rPr>
          <w:b w:val="0"/>
        </w:rPr>
        <w:t xml:space="preserve">also </w:t>
      </w:r>
      <w:r w:rsidR="00EB2732">
        <w:rPr>
          <w:b w:val="0"/>
        </w:rPr>
        <w:t>made in policy E1.1 (</w:t>
      </w:r>
      <w:r w:rsidR="00EB2732">
        <w:t>MM19</w:t>
      </w:r>
      <w:r w:rsidR="00EB2732">
        <w:rPr>
          <w:b w:val="0"/>
        </w:rPr>
        <w:t>)</w:t>
      </w:r>
      <w:r w:rsidR="00E508A4">
        <w:rPr>
          <w:b w:val="0"/>
        </w:rPr>
        <w:t xml:space="preserve">.  </w:t>
      </w:r>
      <w:r w:rsidRPr="00D04F69">
        <w:rPr>
          <w:b w:val="0"/>
        </w:rPr>
        <w:t xml:space="preserve">  </w:t>
      </w:r>
    </w:p>
    <w:p w:rsidR="002129A9" w:rsidRPr="002129A9" w:rsidRDefault="002129A9" w:rsidP="002129A9">
      <w:pPr>
        <w:pStyle w:val="DPDIntro"/>
        <w:widowControl w:val="0"/>
        <w:rPr>
          <w:b w:val="0"/>
          <w:i/>
        </w:rPr>
      </w:pPr>
      <w:r>
        <w:rPr>
          <w:b w:val="0"/>
          <w:i/>
        </w:rPr>
        <w:t>Town Centre/Retail</w:t>
      </w:r>
    </w:p>
    <w:p w:rsidR="002129A9" w:rsidRPr="00E508A4" w:rsidRDefault="00DE12F5" w:rsidP="00E508A4">
      <w:pPr>
        <w:pStyle w:val="DPDIntro"/>
        <w:widowControl w:val="0"/>
        <w:numPr>
          <w:ilvl w:val="0"/>
          <w:numId w:val="13"/>
        </w:numPr>
        <w:rPr>
          <w:b w:val="0"/>
        </w:rPr>
      </w:pPr>
      <w:r w:rsidRPr="00E508A4">
        <w:rPr>
          <w:b w:val="0"/>
        </w:rPr>
        <w:t>It is clear that the Council is committed to securing a viable</w:t>
      </w:r>
      <w:r w:rsidR="00FC5455" w:rsidRPr="00E508A4">
        <w:rPr>
          <w:b w:val="0"/>
        </w:rPr>
        <w:t xml:space="preserve"> and</w:t>
      </w:r>
      <w:r w:rsidRPr="00E508A4">
        <w:rPr>
          <w:b w:val="0"/>
        </w:rPr>
        <w:t xml:space="preserve"> </w:t>
      </w:r>
      <w:r w:rsidR="00FC5455" w:rsidRPr="00E508A4">
        <w:rPr>
          <w:b w:val="0"/>
        </w:rPr>
        <w:t xml:space="preserve">vital </w:t>
      </w:r>
      <w:r w:rsidRPr="00E508A4">
        <w:rPr>
          <w:b w:val="0"/>
        </w:rPr>
        <w:t>town centre in King’s Lynn and policy E1.1 sets out the way that this will be achieved.  As well as seeking a mix of uses emphasis is placed on ensuring that there will a high standard of design.  Encouragement is given to the expansion of the retail area</w:t>
      </w:r>
      <w:r w:rsidR="00F25BE5" w:rsidRPr="00E508A4">
        <w:rPr>
          <w:b w:val="0"/>
        </w:rPr>
        <w:t xml:space="preserve"> but the policy also includes sufficient flexibility to ensure that town centre premises are occupied rather than remain vacant.  In terms of the </w:t>
      </w:r>
      <w:proofErr w:type="spellStart"/>
      <w:r w:rsidR="00F25BE5" w:rsidRPr="00E508A4">
        <w:rPr>
          <w:b w:val="0"/>
        </w:rPr>
        <w:t>Gaywood</w:t>
      </w:r>
      <w:proofErr w:type="spellEnd"/>
      <w:r w:rsidR="00F25BE5" w:rsidRPr="00E508A4">
        <w:rPr>
          <w:b w:val="0"/>
        </w:rPr>
        <w:t xml:space="preserve"> Clock area policy E1.3 supports the retention and strengthening of its retail function. </w:t>
      </w:r>
      <w:r w:rsidR="00FC5455" w:rsidRPr="00E508A4">
        <w:rPr>
          <w:b w:val="0"/>
        </w:rPr>
        <w:t xml:space="preserve"> The Council’s approach </w:t>
      </w:r>
      <w:r w:rsidR="00963EAA">
        <w:rPr>
          <w:b w:val="0"/>
        </w:rPr>
        <w:t xml:space="preserve">on this matter </w:t>
      </w:r>
      <w:r w:rsidR="00FC5455" w:rsidRPr="00E508A4">
        <w:rPr>
          <w:b w:val="0"/>
        </w:rPr>
        <w:t>is positive and in all respects sound.</w:t>
      </w:r>
      <w:r w:rsidR="00F25BE5" w:rsidRPr="00E508A4">
        <w:rPr>
          <w:b w:val="0"/>
        </w:rPr>
        <w:t xml:space="preserve"> </w:t>
      </w:r>
    </w:p>
    <w:p w:rsidR="001B366B" w:rsidRPr="001B366B" w:rsidRDefault="001B366B" w:rsidP="001B366B">
      <w:pPr>
        <w:pStyle w:val="DPDIntro"/>
        <w:widowControl w:val="0"/>
        <w:rPr>
          <w:i/>
        </w:rPr>
      </w:pPr>
      <w:r>
        <w:rPr>
          <w:i/>
        </w:rPr>
        <w:t>West Lynn</w:t>
      </w:r>
    </w:p>
    <w:p w:rsidR="00382EA9" w:rsidRDefault="00E508A4" w:rsidP="002129A9">
      <w:pPr>
        <w:pStyle w:val="DPDIntro"/>
        <w:widowControl w:val="0"/>
        <w:numPr>
          <w:ilvl w:val="0"/>
          <w:numId w:val="13"/>
        </w:numPr>
        <w:rPr>
          <w:b w:val="0"/>
        </w:rPr>
      </w:pPr>
      <w:r>
        <w:rPr>
          <w:b w:val="0"/>
        </w:rPr>
        <w:t>Sites at St Peter</w:t>
      </w:r>
      <w:r w:rsidR="009C5888">
        <w:rPr>
          <w:b w:val="0"/>
        </w:rPr>
        <w:t>’</w:t>
      </w:r>
      <w:r>
        <w:rPr>
          <w:b w:val="0"/>
        </w:rPr>
        <w:t>s Road and Bankside are alloca</w:t>
      </w:r>
      <w:r w:rsidR="00CC583E">
        <w:rPr>
          <w:b w:val="0"/>
        </w:rPr>
        <w:t>ted for residential development and the SA satisfactorily explains why they were selected.  I have attached significant weight to issues of flood risk and the loss of agricultural land but I broadly agree with the conclusions drawn in the SA.</w:t>
      </w:r>
      <w:r w:rsidR="00382EA9">
        <w:rPr>
          <w:b w:val="0"/>
        </w:rPr>
        <w:t xml:space="preserve">  However, in order to ensure that </w:t>
      </w:r>
      <w:r w:rsidR="00963EAA">
        <w:rPr>
          <w:b w:val="0"/>
        </w:rPr>
        <w:t xml:space="preserve">the </w:t>
      </w:r>
      <w:r w:rsidR="00382EA9">
        <w:rPr>
          <w:b w:val="0"/>
        </w:rPr>
        <w:t xml:space="preserve">issue of flood risk </w:t>
      </w:r>
      <w:r w:rsidR="00963EAA">
        <w:rPr>
          <w:b w:val="0"/>
        </w:rPr>
        <w:t>at Bankside is</w:t>
      </w:r>
      <w:r w:rsidR="00382EA9">
        <w:rPr>
          <w:b w:val="0"/>
        </w:rPr>
        <w:t xml:space="preserve"> given the appropriate consideration</w:t>
      </w:r>
      <w:r w:rsidR="00963EAA">
        <w:rPr>
          <w:b w:val="0"/>
        </w:rPr>
        <w:t>,</w:t>
      </w:r>
      <w:r w:rsidR="00382EA9">
        <w:rPr>
          <w:b w:val="0"/>
        </w:rPr>
        <w:t xml:space="preserve"> the Council proposes to include a requirement</w:t>
      </w:r>
      <w:r w:rsidR="00963EAA">
        <w:rPr>
          <w:b w:val="0"/>
        </w:rPr>
        <w:t xml:space="preserve"> in the policy</w:t>
      </w:r>
      <w:r w:rsidR="00382EA9">
        <w:rPr>
          <w:b w:val="0"/>
        </w:rPr>
        <w:t xml:space="preserve"> for a site specific Flood Risk Assessment.  Such an approach </w:t>
      </w:r>
      <w:r w:rsidR="007D07E5">
        <w:rPr>
          <w:b w:val="0"/>
        </w:rPr>
        <w:t>would make the plan</w:t>
      </w:r>
      <w:r w:rsidR="00382EA9">
        <w:rPr>
          <w:b w:val="0"/>
        </w:rPr>
        <w:t xml:space="preserve"> sound and is therefore recommended (</w:t>
      </w:r>
      <w:r w:rsidR="00382EA9">
        <w:t>MM64</w:t>
      </w:r>
      <w:r w:rsidR="00382EA9">
        <w:rPr>
          <w:b w:val="0"/>
        </w:rPr>
        <w:t>).</w:t>
      </w:r>
    </w:p>
    <w:p w:rsidR="001B366B" w:rsidRDefault="00CC583E" w:rsidP="002129A9">
      <w:pPr>
        <w:pStyle w:val="DPDIntro"/>
        <w:widowControl w:val="0"/>
        <w:numPr>
          <w:ilvl w:val="0"/>
          <w:numId w:val="13"/>
        </w:numPr>
        <w:rPr>
          <w:b w:val="0"/>
        </w:rPr>
      </w:pPr>
      <w:r>
        <w:rPr>
          <w:b w:val="0"/>
        </w:rPr>
        <w:t xml:space="preserve">Whilst I acknowledge that the Bankside site will make use of a derelict brownfield site, it extends some distance along the bank of the </w:t>
      </w:r>
      <w:r w:rsidR="000F3492">
        <w:rPr>
          <w:b w:val="0"/>
        </w:rPr>
        <w:t>r</w:t>
      </w:r>
      <w:r>
        <w:rPr>
          <w:b w:val="0"/>
        </w:rPr>
        <w:t>iver and it will be clearly seen not only from the river but more importantly f</w:t>
      </w:r>
      <w:r w:rsidR="00963EAA">
        <w:rPr>
          <w:b w:val="0"/>
        </w:rPr>
        <w:t>r</w:t>
      </w:r>
      <w:r>
        <w:rPr>
          <w:b w:val="0"/>
        </w:rPr>
        <w:t xml:space="preserve">om the riverside in King’s Lynn.  The visual implications of </w:t>
      </w:r>
      <w:r w:rsidR="00EB2732">
        <w:rPr>
          <w:b w:val="0"/>
        </w:rPr>
        <w:t>200 dwellings</w:t>
      </w:r>
      <w:r>
        <w:rPr>
          <w:b w:val="0"/>
        </w:rPr>
        <w:t xml:space="preserve"> on this site could be significant.</w:t>
      </w:r>
      <w:r w:rsidR="00EB2732">
        <w:rPr>
          <w:b w:val="0"/>
        </w:rPr>
        <w:t xml:space="preserve">  The Council (with the landowner) has given this matter further consideration and has concluded that the number of dwellings should be reduced </w:t>
      </w:r>
      <w:r w:rsidR="009C5888">
        <w:rPr>
          <w:b w:val="0"/>
        </w:rPr>
        <w:t xml:space="preserve">to </w:t>
      </w:r>
      <w:r w:rsidR="00EB2732">
        <w:rPr>
          <w:b w:val="0"/>
        </w:rPr>
        <w:t>120 in order to ensure that an appropriate standard of design and layout would be achieved.  In these circumstances I agree that a reduced level of development</w:t>
      </w:r>
      <w:r w:rsidR="00963EAA">
        <w:rPr>
          <w:b w:val="0"/>
        </w:rPr>
        <w:t xml:space="preserve"> on this prominent site</w:t>
      </w:r>
      <w:r w:rsidR="00EB2732">
        <w:rPr>
          <w:b w:val="0"/>
        </w:rPr>
        <w:t xml:space="preserve"> is likely to result in a visually more satisfactory scheme </w:t>
      </w:r>
      <w:r w:rsidR="009C5888">
        <w:rPr>
          <w:b w:val="0"/>
        </w:rPr>
        <w:t>which would represent the most appropriate strategy for the site.  I</w:t>
      </w:r>
      <w:r>
        <w:rPr>
          <w:b w:val="0"/>
        </w:rPr>
        <w:t xml:space="preserve">t is therefore recommended that </w:t>
      </w:r>
      <w:r w:rsidR="00EB2732">
        <w:rPr>
          <w:b w:val="0"/>
        </w:rPr>
        <w:t xml:space="preserve">the allocation be reduced to ‘at least 120 dwellings’ </w:t>
      </w:r>
      <w:r>
        <w:rPr>
          <w:b w:val="0"/>
        </w:rPr>
        <w:t>(</w:t>
      </w:r>
      <w:r>
        <w:t>MM</w:t>
      </w:r>
      <w:r w:rsidR="00EB2732">
        <w:t>23</w:t>
      </w:r>
      <w:r>
        <w:rPr>
          <w:b w:val="0"/>
        </w:rPr>
        <w:t>).</w:t>
      </w:r>
    </w:p>
    <w:p w:rsidR="000C114E" w:rsidRPr="00542397" w:rsidRDefault="00CC583E" w:rsidP="001B366B">
      <w:pPr>
        <w:pStyle w:val="DPDIntro"/>
        <w:widowControl w:val="0"/>
        <w:numPr>
          <w:ilvl w:val="0"/>
          <w:numId w:val="13"/>
        </w:numPr>
        <w:rPr>
          <w:b w:val="0"/>
        </w:rPr>
      </w:pPr>
      <w:r w:rsidRPr="00542397">
        <w:rPr>
          <w:b w:val="0"/>
        </w:rPr>
        <w:t xml:space="preserve">Concerns were expressed by residents about the traffic implications of development </w:t>
      </w:r>
      <w:r w:rsidR="000F3492">
        <w:rPr>
          <w:b w:val="0"/>
        </w:rPr>
        <w:t xml:space="preserve">in West Lynn </w:t>
      </w:r>
      <w:r w:rsidRPr="00542397">
        <w:rPr>
          <w:b w:val="0"/>
        </w:rPr>
        <w:t xml:space="preserve">and the </w:t>
      </w:r>
      <w:r w:rsidR="00D02090" w:rsidRPr="00542397">
        <w:rPr>
          <w:b w:val="0"/>
        </w:rPr>
        <w:t>restricted</w:t>
      </w:r>
      <w:r w:rsidRPr="00542397">
        <w:rPr>
          <w:b w:val="0"/>
        </w:rPr>
        <w:t xml:space="preserve"> access to King’s Lynn as a result of having to cross the river.</w:t>
      </w:r>
      <w:r w:rsidR="00D02090" w:rsidRPr="00542397">
        <w:rPr>
          <w:b w:val="0"/>
        </w:rPr>
        <w:t xml:space="preserve">  Whilst I understand these concerns I am mindful that </w:t>
      </w:r>
      <w:r w:rsidR="000F3492">
        <w:rPr>
          <w:b w:val="0"/>
        </w:rPr>
        <w:t xml:space="preserve">the settlement </w:t>
      </w:r>
      <w:r w:rsidR="00D02090" w:rsidRPr="00542397">
        <w:rPr>
          <w:b w:val="0"/>
        </w:rPr>
        <w:t xml:space="preserve">enjoys a range of facilities and services and that for the </w:t>
      </w:r>
      <w:r w:rsidR="00D02090" w:rsidRPr="00542397">
        <w:rPr>
          <w:b w:val="0"/>
        </w:rPr>
        <w:lastRenderedPageBreak/>
        <w:t>purposes of CS policy CS02 it is specifically included within the</w:t>
      </w:r>
      <w:r w:rsidR="00963EAA">
        <w:rPr>
          <w:b w:val="0"/>
        </w:rPr>
        <w:t xml:space="preserve"> definition of the</w:t>
      </w:r>
      <w:r w:rsidR="00D02090" w:rsidRPr="00542397">
        <w:rPr>
          <w:b w:val="0"/>
        </w:rPr>
        <w:t xml:space="preserve"> King’s Lynn sub-regional centre.  No substantive evidence was submitted that would justify </w:t>
      </w:r>
      <w:r w:rsidR="00542397" w:rsidRPr="00542397">
        <w:rPr>
          <w:b w:val="0"/>
        </w:rPr>
        <w:t>the Council adopting a different approach.</w:t>
      </w:r>
      <w:r w:rsidR="00D02090" w:rsidRPr="00542397">
        <w:rPr>
          <w:b w:val="0"/>
        </w:rPr>
        <w:t xml:space="preserve"> </w:t>
      </w:r>
      <w:r w:rsidR="00B73253" w:rsidRPr="00542397">
        <w:rPr>
          <w:b w:val="0"/>
        </w:rPr>
        <w:t xml:space="preserve"> </w:t>
      </w:r>
    </w:p>
    <w:p w:rsidR="002170E8" w:rsidRPr="002129A9" w:rsidRDefault="003A0F7E" w:rsidP="002129A9">
      <w:pPr>
        <w:pStyle w:val="DPDIssueSubheading"/>
      </w:pPr>
      <w:r w:rsidRPr="002129A9">
        <w:t>West Winch</w:t>
      </w:r>
      <w:r w:rsidR="00B73253" w:rsidRPr="002129A9">
        <w:t xml:space="preserve"> </w:t>
      </w:r>
    </w:p>
    <w:p w:rsidR="00EB2732" w:rsidRDefault="00DA325D" w:rsidP="00B249BF">
      <w:pPr>
        <w:pStyle w:val="DPDIntro"/>
        <w:widowControl w:val="0"/>
        <w:numPr>
          <w:ilvl w:val="0"/>
          <w:numId w:val="13"/>
        </w:numPr>
        <w:rPr>
          <w:b w:val="0"/>
        </w:rPr>
      </w:pPr>
      <w:r w:rsidRPr="003A0F7E">
        <w:rPr>
          <w:b w:val="0"/>
        </w:rPr>
        <w:t>T</w:t>
      </w:r>
      <w:r w:rsidR="006B0D45">
        <w:rPr>
          <w:b w:val="0"/>
        </w:rPr>
        <w:t xml:space="preserve">he principle of urban expansion at West Winch is established in the CS which allocates at least 1,600 new homes to the area and </w:t>
      </w:r>
      <w:r w:rsidR="00963EAA">
        <w:rPr>
          <w:b w:val="0"/>
        </w:rPr>
        <w:t>identifies</w:t>
      </w:r>
      <w:r w:rsidR="006B0D45">
        <w:rPr>
          <w:b w:val="0"/>
        </w:rPr>
        <w:t xml:space="preserve"> the location as a direction of growth for beyond the plan period</w:t>
      </w:r>
      <w:r w:rsidR="009C5888">
        <w:rPr>
          <w:b w:val="0"/>
        </w:rPr>
        <w:t xml:space="preserve"> (policy CS09)</w:t>
      </w:r>
      <w:r w:rsidR="006B0D45">
        <w:rPr>
          <w:b w:val="0"/>
        </w:rPr>
        <w:t>.</w:t>
      </w:r>
      <w:r w:rsidR="00D047C0">
        <w:rPr>
          <w:b w:val="0"/>
        </w:rPr>
        <w:t xml:space="preserve">  The SA </w:t>
      </w:r>
      <w:r w:rsidR="00016654">
        <w:rPr>
          <w:b w:val="0"/>
        </w:rPr>
        <w:t xml:space="preserve">and the indicative Concept </w:t>
      </w:r>
      <w:r w:rsidR="00DF15BB">
        <w:rPr>
          <w:b w:val="0"/>
        </w:rPr>
        <w:t>P</w:t>
      </w:r>
      <w:r w:rsidR="00016654">
        <w:rPr>
          <w:b w:val="0"/>
        </w:rPr>
        <w:t xml:space="preserve">lan </w:t>
      </w:r>
      <w:r w:rsidR="00D047C0">
        <w:rPr>
          <w:b w:val="0"/>
        </w:rPr>
        <w:t xml:space="preserve">satisfactorily demonstrate that the </w:t>
      </w:r>
      <w:r w:rsidR="00963EAA">
        <w:rPr>
          <w:b w:val="0"/>
        </w:rPr>
        <w:t>proposed</w:t>
      </w:r>
      <w:r w:rsidR="00D047C0">
        <w:rPr>
          <w:b w:val="0"/>
        </w:rPr>
        <w:t xml:space="preserve"> area for development w</w:t>
      </w:r>
      <w:r w:rsidR="00016654">
        <w:rPr>
          <w:b w:val="0"/>
        </w:rPr>
        <w:t xml:space="preserve">ould assimilate well into the existing village; retain gaps between West Winch and nearby settlements; incorporate significant landscape buffers; and enable the provision of the relief road between the A10 and the A47.  </w:t>
      </w:r>
    </w:p>
    <w:p w:rsidR="00796745" w:rsidRDefault="00796745" w:rsidP="00B249BF">
      <w:pPr>
        <w:pStyle w:val="DPDIntro"/>
        <w:widowControl w:val="0"/>
        <w:numPr>
          <w:ilvl w:val="0"/>
          <w:numId w:val="13"/>
        </w:numPr>
        <w:rPr>
          <w:b w:val="0"/>
        </w:rPr>
      </w:pPr>
      <w:r>
        <w:rPr>
          <w:b w:val="0"/>
        </w:rPr>
        <w:t>Work on the delivery of the West Winch Growth Area has been underway for some time and the Statement of Common Ground confirms that significant progress has been made</w:t>
      </w:r>
      <w:r w:rsidR="009C5888">
        <w:rPr>
          <w:rStyle w:val="FootnoteReference"/>
          <w:b w:val="0"/>
        </w:rPr>
        <w:footnoteReference w:id="8"/>
      </w:r>
      <w:r>
        <w:rPr>
          <w:b w:val="0"/>
        </w:rPr>
        <w:t>.  However, the submitted Plan does not identify land off Gravel Hill (also known as site F) as part of the Growth Area.  The owner of the land argues that the non-inclusion of this land threatens the viability and delivery of the Growth Area as a whole, including the provision of the necessary supporting infrastructure, for example the relief road.</w:t>
      </w:r>
    </w:p>
    <w:p w:rsidR="00796745" w:rsidRDefault="00796745" w:rsidP="00B249BF">
      <w:pPr>
        <w:pStyle w:val="DPDIntro"/>
        <w:widowControl w:val="0"/>
        <w:numPr>
          <w:ilvl w:val="0"/>
          <w:numId w:val="13"/>
        </w:numPr>
        <w:rPr>
          <w:b w:val="0"/>
        </w:rPr>
      </w:pPr>
      <w:r>
        <w:rPr>
          <w:b w:val="0"/>
        </w:rPr>
        <w:t>The Report to Cabinet (9</w:t>
      </w:r>
      <w:r w:rsidRPr="00796745">
        <w:rPr>
          <w:b w:val="0"/>
          <w:vertAlign w:val="superscript"/>
        </w:rPr>
        <w:t>th</w:t>
      </w:r>
      <w:r>
        <w:rPr>
          <w:b w:val="0"/>
        </w:rPr>
        <w:t xml:space="preserve"> September 2015) reconsiders the Council’s approach and refers to the updated SA that has been undertaken (paragraph 9.11) which identifies a broadly positive scoring for the inclusion of the Gravel Hill site.  It is clear that the inclusion of the site would have a number of advantages, particularly bearing in mind the need to secure sustainable residential development which would boost the supply of housing in the Borough.</w:t>
      </w:r>
    </w:p>
    <w:p w:rsidR="00DA325D" w:rsidRPr="003A0F7E" w:rsidRDefault="00796745" w:rsidP="00B249BF">
      <w:pPr>
        <w:pStyle w:val="DPDIntro"/>
        <w:widowControl w:val="0"/>
        <w:numPr>
          <w:ilvl w:val="0"/>
          <w:numId w:val="13"/>
        </w:numPr>
        <w:rPr>
          <w:b w:val="0"/>
        </w:rPr>
      </w:pPr>
      <w:r>
        <w:rPr>
          <w:b w:val="0"/>
        </w:rPr>
        <w:t xml:space="preserve">I have taken into account the objections to the identification of the Gravel Hill site for development but conclude that there are no matters of such significance that would justify the continued exclusion of the site from the Growth Area.  Issues such as highway safety and the outlook from existing dwellings can be </w:t>
      </w:r>
      <w:r w:rsidR="007D07E5">
        <w:rPr>
          <w:b w:val="0"/>
        </w:rPr>
        <w:t xml:space="preserve">appropriately </w:t>
      </w:r>
      <w:r>
        <w:rPr>
          <w:b w:val="0"/>
        </w:rPr>
        <w:t xml:space="preserve">considered at the planning application stage.  </w:t>
      </w:r>
      <w:r w:rsidR="00016989">
        <w:rPr>
          <w:b w:val="0"/>
        </w:rPr>
        <w:t xml:space="preserve">There is no evidence of sufficient weight that would enable me to conclude that the Council’s revised approach (as set out in the Cabinet Report) is not sound.  </w:t>
      </w:r>
      <w:r w:rsidR="00EB2732">
        <w:rPr>
          <w:b w:val="0"/>
        </w:rPr>
        <w:t>Consequently</w:t>
      </w:r>
      <w:r w:rsidR="00437E35">
        <w:rPr>
          <w:b w:val="0"/>
        </w:rPr>
        <w:t>, in order to ensure that policy E2.1 will be effective,</w:t>
      </w:r>
      <w:r w:rsidR="00EB2732">
        <w:rPr>
          <w:b w:val="0"/>
        </w:rPr>
        <w:t xml:space="preserve"> it is recommended that an additional area of land, off Gravel Hill, is included within the </w:t>
      </w:r>
      <w:r w:rsidR="00880150">
        <w:rPr>
          <w:b w:val="0"/>
        </w:rPr>
        <w:t>growth area boundary</w:t>
      </w:r>
      <w:r w:rsidR="00016989">
        <w:rPr>
          <w:b w:val="0"/>
        </w:rPr>
        <w:t xml:space="preserve"> (</w:t>
      </w:r>
      <w:r w:rsidR="00880150">
        <w:t xml:space="preserve">MM24 </w:t>
      </w:r>
      <w:r w:rsidR="00880150">
        <w:rPr>
          <w:b w:val="0"/>
        </w:rPr>
        <w:t xml:space="preserve">and </w:t>
      </w:r>
      <w:r w:rsidR="00880150">
        <w:t>MM25</w:t>
      </w:r>
      <w:r w:rsidR="00016989">
        <w:t>)</w:t>
      </w:r>
      <w:r w:rsidR="00016989">
        <w:rPr>
          <w:b w:val="0"/>
        </w:rPr>
        <w:t>.</w:t>
      </w:r>
      <w:r w:rsidR="00016654">
        <w:rPr>
          <w:b w:val="0"/>
        </w:rPr>
        <w:t xml:space="preserve">  </w:t>
      </w:r>
    </w:p>
    <w:p w:rsidR="003A0F7E" w:rsidRDefault="00016654" w:rsidP="00B249BF">
      <w:pPr>
        <w:pStyle w:val="DPDIntro"/>
        <w:widowControl w:val="0"/>
        <w:numPr>
          <w:ilvl w:val="0"/>
          <w:numId w:val="13"/>
        </w:numPr>
        <w:rPr>
          <w:b w:val="0"/>
        </w:rPr>
      </w:pPr>
      <w:r>
        <w:rPr>
          <w:b w:val="0"/>
        </w:rPr>
        <w:t>Concerns were expressed regarding the highway implications of development of this scale.</w:t>
      </w:r>
      <w:r w:rsidR="000F3492">
        <w:rPr>
          <w:b w:val="0"/>
        </w:rPr>
        <w:t xml:space="preserve"> </w:t>
      </w:r>
      <w:r w:rsidR="002448FB">
        <w:rPr>
          <w:b w:val="0"/>
        </w:rPr>
        <w:t xml:space="preserve"> It is a requirement of the policy, however, to submit a comprehensive strategic transportation plan for the area and an Infrastructure Delivery Plan.  No </w:t>
      </w:r>
      <w:r w:rsidR="000F3492">
        <w:rPr>
          <w:b w:val="0"/>
        </w:rPr>
        <w:t xml:space="preserve">substantive </w:t>
      </w:r>
      <w:r w:rsidR="002448FB">
        <w:rPr>
          <w:b w:val="0"/>
        </w:rPr>
        <w:t>evidence was submitted to cast doubt on the ability of these documents to satisfactorily address transport issues</w:t>
      </w:r>
      <w:r w:rsidR="00CB3B71">
        <w:rPr>
          <w:b w:val="0"/>
        </w:rPr>
        <w:t xml:space="preserve"> and I note that there were no objections to the Council’s approach from either Highways England or the County Highway Authority</w:t>
      </w:r>
      <w:r w:rsidR="002448FB">
        <w:rPr>
          <w:b w:val="0"/>
        </w:rPr>
        <w:t>.</w:t>
      </w:r>
    </w:p>
    <w:p w:rsidR="002448FB" w:rsidRDefault="002448FB" w:rsidP="00B249BF">
      <w:pPr>
        <w:pStyle w:val="DPDIntro"/>
        <w:widowControl w:val="0"/>
        <w:numPr>
          <w:ilvl w:val="0"/>
          <w:numId w:val="13"/>
        </w:numPr>
        <w:rPr>
          <w:b w:val="0"/>
        </w:rPr>
      </w:pPr>
      <w:r>
        <w:rPr>
          <w:b w:val="0"/>
        </w:rPr>
        <w:t>There is no reference in policy</w:t>
      </w:r>
      <w:r w:rsidR="004E40B0">
        <w:rPr>
          <w:b w:val="0"/>
        </w:rPr>
        <w:t xml:space="preserve"> E2.1</w:t>
      </w:r>
      <w:r>
        <w:rPr>
          <w:b w:val="0"/>
        </w:rPr>
        <w:t xml:space="preserve"> to the provision of public transport </w:t>
      </w:r>
      <w:r>
        <w:rPr>
          <w:b w:val="0"/>
        </w:rPr>
        <w:lastRenderedPageBreak/>
        <w:t>improvements</w:t>
      </w:r>
      <w:r w:rsidR="004E40B0">
        <w:rPr>
          <w:b w:val="0"/>
        </w:rPr>
        <w:t xml:space="preserve"> and</w:t>
      </w:r>
      <w:r w:rsidR="00963EAA">
        <w:rPr>
          <w:b w:val="0"/>
        </w:rPr>
        <w:t xml:space="preserve"> in the interests of sustainable movement this should be a stated requirement.  Also</w:t>
      </w:r>
      <w:r w:rsidR="004E40B0">
        <w:rPr>
          <w:b w:val="0"/>
        </w:rPr>
        <w:t xml:space="preserve"> the </w:t>
      </w:r>
      <w:proofErr w:type="spellStart"/>
      <w:r w:rsidR="004E40B0">
        <w:rPr>
          <w:b w:val="0"/>
        </w:rPr>
        <w:t>hectarage</w:t>
      </w:r>
      <w:proofErr w:type="spellEnd"/>
      <w:r w:rsidR="004E40B0">
        <w:rPr>
          <w:b w:val="0"/>
        </w:rPr>
        <w:t xml:space="preserve"> of the Growth Area needs to be increased to reflect the addition of the Gravel Hill site.  T</w:t>
      </w:r>
      <w:r w:rsidR="00CB3B71">
        <w:rPr>
          <w:b w:val="0"/>
        </w:rPr>
        <w:t xml:space="preserve">herefore </w:t>
      </w:r>
      <w:r w:rsidR="00CB3B71">
        <w:t>MM</w:t>
      </w:r>
      <w:r w:rsidR="00880150">
        <w:t>26</w:t>
      </w:r>
      <w:r w:rsidR="00963EAA">
        <w:t xml:space="preserve"> </w:t>
      </w:r>
      <w:r w:rsidR="00963EAA" w:rsidRPr="00963EAA">
        <w:rPr>
          <w:b w:val="0"/>
        </w:rPr>
        <w:t>(which encompasses both of these points)</w:t>
      </w:r>
      <w:r w:rsidR="00CB3B71">
        <w:rPr>
          <w:b w:val="0"/>
        </w:rPr>
        <w:t xml:space="preserve"> is recommended in order to ensure that the</w:t>
      </w:r>
      <w:r w:rsidR="004E40B0">
        <w:rPr>
          <w:b w:val="0"/>
        </w:rPr>
        <w:t xml:space="preserve"> policy is up-to-date and reflects the</w:t>
      </w:r>
      <w:r w:rsidR="00CB3B71">
        <w:rPr>
          <w:b w:val="0"/>
        </w:rPr>
        <w:t xml:space="preserve"> most appropriate strategy </w:t>
      </w:r>
      <w:r w:rsidR="004E40B0">
        <w:rPr>
          <w:b w:val="0"/>
        </w:rPr>
        <w:t>to follow.</w:t>
      </w:r>
    </w:p>
    <w:p w:rsidR="00CB3B71" w:rsidRDefault="00CB3B71" w:rsidP="00B249BF">
      <w:pPr>
        <w:pStyle w:val="DPDIntro"/>
        <w:widowControl w:val="0"/>
        <w:numPr>
          <w:ilvl w:val="0"/>
          <w:numId w:val="13"/>
        </w:numPr>
        <w:rPr>
          <w:b w:val="0"/>
        </w:rPr>
      </w:pPr>
      <w:r w:rsidRPr="000E2369">
        <w:rPr>
          <w:b w:val="0"/>
        </w:rPr>
        <w:t>Policy E2.2 relates to development within the existing built-up areas of West Winch.  In order to strengthen and clarify part 1a it is proposed to refer specifically to</w:t>
      </w:r>
      <w:r w:rsidR="004E40B0">
        <w:rPr>
          <w:b w:val="0"/>
        </w:rPr>
        <w:t xml:space="preserve"> restricting significant</w:t>
      </w:r>
      <w:r w:rsidRPr="000E2369">
        <w:rPr>
          <w:b w:val="0"/>
        </w:rPr>
        <w:t xml:space="preserve"> ‘new traffic’</w:t>
      </w:r>
      <w:r w:rsidR="004E40B0">
        <w:rPr>
          <w:b w:val="0"/>
        </w:rPr>
        <w:t xml:space="preserve"> until the link road is open</w:t>
      </w:r>
      <w:r w:rsidRPr="000E2369">
        <w:rPr>
          <w:b w:val="0"/>
        </w:rPr>
        <w:t xml:space="preserve"> and to define what is meant by ‘significant’.  These changes are required to ensure that the plan is justified and are recommended accordingly</w:t>
      </w:r>
      <w:r w:rsidR="000E2369" w:rsidRPr="000E2369">
        <w:rPr>
          <w:b w:val="0"/>
        </w:rPr>
        <w:t xml:space="preserve">.  Similarly </w:t>
      </w:r>
      <w:r w:rsidR="000E2369">
        <w:rPr>
          <w:b w:val="0"/>
        </w:rPr>
        <w:t>i</w:t>
      </w:r>
      <w:r w:rsidRPr="000E2369">
        <w:rPr>
          <w:b w:val="0"/>
        </w:rPr>
        <w:t xml:space="preserve">n terms of policy E2.2 2 a reference to </w:t>
      </w:r>
      <w:r w:rsidR="000E2369" w:rsidRPr="000E2369">
        <w:rPr>
          <w:b w:val="0"/>
        </w:rPr>
        <w:t>which views should be specifical</w:t>
      </w:r>
      <w:r w:rsidRPr="000E2369">
        <w:rPr>
          <w:b w:val="0"/>
        </w:rPr>
        <w:t xml:space="preserve">ly considered (i.e. </w:t>
      </w:r>
      <w:r w:rsidR="000E2369" w:rsidRPr="000E2369">
        <w:rPr>
          <w:b w:val="0"/>
        </w:rPr>
        <w:t xml:space="preserve">views </w:t>
      </w:r>
      <w:r w:rsidRPr="000E2369">
        <w:rPr>
          <w:b w:val="0"/>
        </w:rPr>
        <w:t>from the west)</w:t>
      </w:r>
      <w:r w:rsidR="000E2369" w:rsidRPr="000E2369">
        <w:rPr>
          <w:b w:val="0"/>
        </w:rPr>
        <w:t xml:space="preserve"> should be included and is therefore recommended (</w:t>
      </w:r>
      <w:r w:rsidR="00880150">
        <w:rPr>
          <w:b w:val="0"/>
        </w:rPr>
        <w:t xml:space="preserve">both modifications are included within </w:t>
      </w:r>
      <w:r w:rsidR="000E2369">
        <w:t>MM</w:t>
      </w:r>
      <w:r w:rsidR="00880150">
        <w:t>27</w:t>
      </w:r>
      <w:r w:rsidR="000E2369" w:rsidRPr="000E2369">
        <w:rPr>
          <w:b w:val="0"/>
        </w:rPr>
        <w:t>)</w:t>
      </w:r>
      <w:r w:rsidRPr="000E2369">
        <w:rPr>
          <w:b w:val="0"/>
        </w:rPr>
        <w:t>.</w:t>
      </w:r>
    </w:p>
    <w:p w:rsidR="00382EA9" w:rsidRPr="000E2369" w:rsidRDefault="00382EA9" w:rsidP="00B249BF">
      <w:pPr>
        <w:pStyle w:val="DPDIntro"/>
        <w:widowControl w:val="0"/>
        <w:numPr>
          <w:ilvl w:val="0"/>
          <w:numId w:val="13"/>
        </w:numPr>
        <w:rPr>
          <w:b w:val="0"/>
        </w:rPr>
      </w:pPr>
      <w:r>
        <w:rPr>
          <w:b w:val="0"/>
        </w:rPr>
        <w:t xml:space="preserve">In order to ensure that the most appropriate strategy will be followed the Council proposes to include an additional requirement in the policy for the submission of a site specific Flood Risk Assessment.  This change is </w:t>
      </w:r>
      <w:r w:rsidR="007D07E5">
        <w:rPr>
          <w:b w:val="0"/>
        </w:rPr>
        <w:t xml:space="preserve">necessary for </w:t>
      </w:r>
      <w:r>
        <w:rPr>
          <w:b w:val="0"/>
        </w:rPr>
        <w:t>sound</w:t>
      </w:r>
      <w:r w:rsidR="007D07E5">
        <w:rPr>
          <w:b w:val="0"/>
        </w:rPr>
        <w:t>ness</w:t>
      </w:r>
      <w:r>
        <w:rPr>
          <w:b w:val="0"/>
        </w:rPr>
        <w:t xml:space="preserve"> and is recommended accordingly (</w:t>
      </w:r>
      <w:r>
        <w:t>MM65</w:t>
      </w:r>
      <w:r>
        <w:rPr>
          <w:b w:val="0"/>
        </w:rPr>
        <w:t>).</w:t>
      </w:r>
    </w:p>
    <w:p w:rsidR="003A0F7E" w:rsidRPr="003A0F7E" w:rsidRDefault="003A0F7E" w:rsidP="003A0F7E">
      <w:pPr>
        <w:pStyle w:val="DPDIntro"/>
        <w:widowControl w:val="0"/>
        <w:rPr>
          <w:i/>
        </w:rPr>
      </w:pPr>
      <w:r>
        <w:rPr>
          <w:i/>
        </w:rPr>
        <w:t>South Wootton</w:t>
      </w:r>
    </w:p>
    <w:p w:rsidR="003A0F7E" w:rsidRPr="003A0F7E" w:rsidRDefault="002D7C0F" w:rsidP="00B249BF">
      <w:pPr>
        <w:pStyle w:val="DPDIntro"/>
        <w:widowControl w:val="0"/>
        <w:numPr>
          <w:ilvl w:val="0"/>
          <w:numId w:val="13"/>
        </w:numPr>
        <w:rPr>
          <w:b w:val="0"/>
        </w:rPr>
      </w:pPr>
      <w:r>
        <w:rPr>
          <w:b w:val="0"/>
        </w:rPr>
        <w:t>The strategy for growth at South Wootton is established in CS policy CS03 and is set out in more detail in policy E</w:t>
      </w:r>
      <w:r w:rsidR="009C5888">
        <w:rPr>
          <w:b w:val="0"/>
        </w:rPr>
        <w:t>3</w:t>
      </w:r>
      <w:r>
        <w:rPr>
          <w:b w:val="0"/>
        </w:rPr>
        <w:t>.1 of the SADMPP.  About 40ha is allocated for 300 dwellings.  On the one hand the Parish Council</w:t>
      </w:r>
      <w:r w:rsidR="004E40B0">
        <w:rPr>
          <w:b w:val="0"/>
        </w:rPr>
        <w:t>, for example,</w:t>
      </w:r>
      <w:r>
        <w:rPr>
          <w:b w:val="0"/>
        </w:rPr>
        <w:t xml:space="preserve"> consider</w:t>
      </w:r>
      <w:r w:rsidR="004E40B0">
        <w:rPr>
          <w:b w:val="0"/>
        </w:rPr>
        <w:t>s</w:t>
      </w:r>
      <w:r>
        <w:rPr>
          <w:b w:val="0"/>
        </w:rPr>
        <w:t xml:space="preserve"> the housing figure to be too high whilst others have claimed that the site could accommodate about 500 dwellings.  It is important that the best use of land is achieved but that should not be at the expense of other considerations such as the provision of open space.  In any event paragraph E.3.13 clearly states that if it can be shown that more than 300 dwellings could be accommodated on the site</w:t>
      </w:r>
      <w:r w:rsidR="00434BCD">
        <w:rPr>
          <w:b w:val="0"/>
        </w:rPr>
        <w:t xml:space="preserve"> then further development </w:t>
      </w:r>
      <w:r w:rsidR="004E40B0">
        <w:rPr>
          <w:b w:val="0"/>
        </w:rPr>
        <w:t>may</w:t>
      </w:r>
      <w:r w:rsidR="00434BCD">
        <w:rPr>
          <w:b w:val="0"/>
        </w:rPr>
        <w:t xml:space="preserve"> be considered</w:t>
      </w:r>
      <w:r w:rsidR="004E40B0">
        <w:rPr>
          <w:b w:val="0"/>
        </w:rPr>
        <w:t xml:space="preserve"> in a future plan.</w:t>
      </w:r>
    </w:p>
    <w:p w:rsidR="00880150" w:rsidRDefault="00434BCD" w:rsidP="00B249BF">
      <w:pPr>
        <w:pStyle w:val="DPDIntro"/>
        <w:widowControl w:val="0"/>
        <w:numPr>
          <w:ilvl w:val="0"/>
          <w:numId w:val="13"/>
        </w:numPr>
        <w:rPr>
          <w:b w:val="0"/>
        </w:rPr>
      </w:pPr>
      <w:r>
        <w:rPr>
          <w:b w:val="0"/>
        </w:rPr>
        <w:t xml:space="preserve">There are no objections from the Highway Authority and </w:t>
      </w:r>
      <w:r w:rsidR="00016989">
        <w:rPr>
          <w:b w:val="0"/>
        </w:rPr>
        <w:t>in any case</w:t>
      </w:r>
      <w:r>
        <w:rPr>
          <w:b w:val="0"/>
        </w:rPr>
        <w:t xml:space="preserve"> the policy requires the submission of a comprehensive transport assessment.  There are also requirements for a site flood risk assessment; a landscape assessment; an ecological assessment (including Habitats Regulation Assessment); and a heritage assets assessment.  </w:t>
      </w:r>
    </w:p>
    <w:p w:rsidR="00BE00A6" w:rsidRPr="009C5888" w:rsidRDefault="00A24852" w:rsidP="00BE00A6">
      <w:pPr>
        <w:pStyle w:val="DPDIntro"/>
        <w:widowControl w:val="0"/>
        <w:numPr>
          <w:ilvl w:val="0"/>
          <w:numId w:val="13"/>
        </w:numPr>
        <w:rPr>
          <w:b w:val="0"/>
        </w:rPr>
      </w:pPr>
      <w:r w:rsidRPr="009C5888">
        <w:rPr>
          <w:b w:val="0"/>
        </w:rPr>
        <w:t xml:space="preserve">In the interests of accuracy and clarity a </w:t>
      </w:r>
      <w:r w:rsidR="00B147C7" w:rsidRPr="009C5888">
        <w:rPr>
          <w:b w:val="0"/>
        </w:rPr>
        <w:t xml:space="preserve">small </w:t>
      </w:r>
      <w:r w:rsidRPr="009C5888">
        <w:rPr>
          <w:b w:val="0"/>
        </w:rPr>
        <w:t>number of changes are recommended to policy E3.1 (</w:t>
      </w:r>
      <w:r w:rsidR="00880150">
        <w:t>MM28</w:t>
      </w:r>
      <w:r w:rsidR="007D07E5">
        <w:rPr>
          <w:b w:val="0"/>
        </w:rPr>
        <w:t>)</w:t>
      </w:r>
      <w:r>
        <w:t xml:space="preserve"> </w:t>
      </w:r>
      <w:r w:rsidRPr="009C5888">
        <w:rPr>
          <w:b w:val="0"/>
        </w:rPr>
        <w:t>and o</w:t>
      </w:r>
      <w:r w:rsidR="00434BCD" w:rsidRPr="009C5888">
        <w:rPr>
          <w:b w:val="0"/>
        </w:rPr>
        <w:t>n that basis I am satisfied that the Council’s approach to development at South Wootton is sound.</w:t>
      </w:r>
    </w:p>
    <w:p w:rsidR="003A0F7E" w:rsidRPr="003A0F7E" w:rsidRDefault="003A0F7E" w:rsidP="003A0F7E">
      <w:pPr>
        <w:pStyle w:val="DPDIntro"/>
        <w:widowControl w:val="0"/>
        <w:rPr>
          <w:i/>
        </w:rPr>
      </w:pPr>
      <w:r>
        <w:rPr>
          <w:i/>
        </w:rPr>
        <w:t>Knights Hill</w:t>
      </w:r>
    </w:p>
    <w:p w:rsidR="00A81D02" w:rsidRDefault="00434BCD" w:rsidP="00B249BF">
      <w:pPr>
        <w:pStyle w:val="DPDIntro"/>
        <w:widowControl w:val="0"/>
        <w:numPr>
          <w:ilvl w:val="0"/>
          <w:numId w:val="13"/>
        </w:numPr>
        <w:rPr>
          <w:b w:val="0"/>
        </w:rPr>
      </w:pPr>
      <w:r>
        <w:rPr>
          <w:b w:val="0"/>
        </w:rPr>
        <w:t>The CS identifies Knights Hill as an urban expansion area and no evidence</w:t>
      </w:r>
      <w:r w:rsidR="00DF15BB">
        <w:rPr>
          <w:b w:val="0"/>
        </w:rPr>
        <w:t xml:space="preserve"> was submitted</w:t>
      </w:r>
      <w:r>
        <w:rPr>
          <w:b w:val="0"/>
        </w:rPr>
        <w:t xml:space="preserve"> that would lead me to challenge the requirements of the CS.  The site can be satisfactorily accessed</w:t>
      </w:r>
      <w:r w:rsidR="00A81D02">
        <w:rPr>
          <w:b w:val="0"/>
        </w:rPr>
        <w:t xml:space="preserve">, there is a low risk of flooding, issues of layout and landscaping can be </w:t>
      </w:r>
      <w:r w:rsidR="007D07E5">
        <w:rPr>
          <w:b w:val="0"/>
        </w:rPr>
        <w:t xml:space="preserve">appropriately </w:t>
      </w:r>
      <w:r w:rsidR="00A81D02">
        <w:rPr>
          <w:b w:val="0"/>
        </w:rPr>
        <w:t xml:space="preserve">addressed at the </w:t>
      </w:r>
      <w:r w:rsidR="00A51406">
        <w:rPr>
          <w:b w:val="0"/>
        </w:rPr>
        <w:t>M</w:t>
      </w:r>
      <w:r w:rsidR="00A81D02">
        <w:rPr>
          <w:b w:val="0"/>
        </w:rPr>
        <w:t>asterplan stage; and there is no evidence that the development cannot be delivered.</w:t>
      </w:r>
    </w:p>
    <w:p w:rsidR="00A81D02" w:rsidRDefault="00DF15BB" w:rsidP="00B249BF">
      <w:pPr>
        <w:pStyle w:val="DPDIntro"/>
        <w:widowControl w:val="0"/>
        <w:numPr>
          <w:ilvl w:val="0"/>
          <w:numId w:val="13"/>
        </w:numPr>
        <w:rPr>
          <w:b w:val="0"/>
        </w:rPr>
      </w:pPr>
      <w:r>
        <w:rPr>
          <w:b w:val="0"/>
        </w:rPr>
        <w:t>However, t</w:t>
      </w:r>
      <w:r w:rsidR="00A81D02">
        <w:rPr>
          <w:b w:val="0"/>
        </w:rPr>
        <w:t xml:space="preserve">here are two issues of particular concern to me – namely the protection of sites of nature conservation importance and the protection of </w:t>
      </w:r>
      <w:r w:rsidR="00A81D02">
        <w:rPr>
          <w:b w:val="0"/>
        </w:rPr>
        <w:lastRenderedPageBreak/>
        <w:t xml:space="preserve">heritage assets.  In terms of nature conservation, paragraphs </w:t>
      </w:r>
      <w:r w:rsidR="009C5888">
        <w:rPr>
          <w:b w:val="0"/>
        </w:rPr>
        <w:t>8-10</w:t>
      </w:r>
      <w:r w:rsidR="00A81D02">
        <w:rPr>
          <w:b w:val="0"/>
        </w:rPr>
        <w:t xml:space="preserve"> above summarise the concerns and the Council’s response</w:t>
      </w:r>
      <w:r w:rsidR="00A24852">
        <w:rPr>
          <w:b w:val="0"/>
        </w:rPr>
        <w:t>,</w:t>
      </w:r>
      <w:r w:rsidR="00A81D02">
        <w:rPr>
          <w:b w:val="0"/>
        </w:rPr>
        <w:t xml:space="preserve"> which I consider satisfactorily addresses the need to identify and address the provision of mitigation measures, particularly with regard to European sites of nature conservation importance.</w:t>
      </w:r>
    </w:p>
    <w:p w:rsidR="00880150" w:rsidRDefault="00A81D02" w:rsidP="00B249BF">
      <w:pPr>
        <w:pStyle w:val="DPDIntro"/>
        <w:widowControl w:val="0"/>
        <w:numPr>
          <w:ilvl w:val="0"/>
          <w:numId w:val="13"/>
        </w:numPr>
        <w:rPr>
          <w:b w:val="0"/>
        </w:rPr>
      </w:pPr>
      <w:r>
        <w:rPr>
          <w:b w:val="0"/>
        </w:rPr>
        <w:t>Turning now to heritage assets</w:t>
      </w:r>
      <w:r w:rsidR="00896C5F">
        <w:rPr>
          <w:b w:val="0"/>
        </w:rPr>
        <w:t>, of which there are several in the locality, including scheduled monuments and listed buildings.  The conservation and enhancement of heritage assets and their settings is an important objective.  Although CS policy CS12 seeks to protect and enhance the historic environment, I consider that policy E4</w:t>
      </w:r>
      <w:r w:rsidR="004E3148">
        <w:rPr>
          <w:b w:val="0"/>
        </w:rPr>
        <w:t>.1</w:t>
      </w:r>
      <w:r w:rsidR="00896C5F">
        <w:rPr>
          <w:b w:val="0"/>
        </w:rPr>
        <w:t xml:space="preserve"> (Knights Hill) should be more explicit in seeking to preserve and enhance nearby assets and their settings and should make it clearer that appropriate weight will be placed on such constraints to development in the consideration of development proposals for the area.</w:t>
      </w:r>
    </w:p>
    <w:p w:rsidR="003A0F7E" w:rsidRDefault="00896C5F" w:rsidP="00B249BF">
      <w:pPr>
        <w:pStyle w:val="DPDIntro"/>
        <w:widowControl w:val="0"/>
        <w:numPr>
          <w:ilvl w:val="0"/>
          <w:numId w:val="13"/>
        </w:numPr>
        <w:rPr>
          <w:b w:val="0"/>
        </w:rPr>
      </w:pPr>
      <w:r>
        <w:rPr>
          <w:b w:val="0"/>
        </w:rPr>
        <w:t>I</w:t>
      </w:r>
      <w:r w:rsidR="00A24852">
        <w:rPr>
          <w:b w:val="0"/>
        </w:rPr>
        <w:t xml:space="preserve">t is important that these constraints are acknowledged in the SADMPP.  In this way the Plan will </w:t>
      </w:r>
      <w:r>
        <w:rPr>
          <w:b w:val="0"/>
        </w:rPr>
        <w:t xml:space="preserve">enable </w:t>
      </w:r>
      <w:r w:rsidR="00B6698A">
        <w:rPr>
          <w:b w:val="0"/>
        </w:rPr>
        <w:t xml:space="preserve">the most appropriate strategy to be followed and ensure the sustainable delivery of the </w:t>
      </w:r>
      <w:r>
        <w:rPr>
          <w:b w:val="0"/>
        </w:rPr>
        <w:t>policy</w:t>
      </w:r>
      <w:r w:rsidR="00B6698A">
        <w:rPr>
          <w:b w:val="0"/>
        </w:rPr>
        <w:t xml:space="preserve">. </w:t>
      </w:r>
      <w:r w:rsidR="000F3492">
        <w:rPr>
          <w:b w:val="0"/>
        </w:rPr>
        <w:t xml:space="preserve"> </w:t>
      </w:r>
      <w:r w:rsidR="00880150">
        <w:t>MM29</w:t>
      </w:r>
      <w:r w:rsidR="00B147C7">
        <w:t xml:space="preserve"> </w:t>
      </w:r>
      <w:r w:rsidR="00B147C7">
        <w:rPr>
          <w:b w:val="0"/>
        </w:rPr>
        <w:t>(as it relates to this matter)</w:t>
      </w:r>
      <w:r w:rsidR="00B6698A">
        <w:t xml:space="preserve"> </w:t>
      </w:r>
      <w:r w:rsidR="00B6698A">
        <w:rPr>
          <w:b w:val="0"/>
        </w:rPr>
        <w:t xml:space="preserve">is </w:t>
      </w:r>
      <w:r w:rsidR="00B147C7">
        <w:rPr>
          <w:b w:val="0"/>
        </w:rPr>
        <w:t xml:space="preserve">therefore </w:t>
      </w:r>
      <w:r w:rsidR="00B6698A">
        <w:rPr>
          <w:b w:val="0"/>
        </w:rPr>
        <w:t>recommended accordingly.</w:t>
      </w:r>
      <w:r w:rsidR="00434BCD">
        <w:rPr>
          <w:b w:val="0"/>
        </w:rPr>
        <w:t xml:space="preserve"> </w:t>
      </w:r>
    </w:p>
    <w:p w:rsidR="003A0F7E" w:rsidRPr="003A0F7E" w:rsidRDefault="003A0F7E" w:rsidP="003A0F7E">
      <w:pPr>
        <w:pStyle w:val="DPDIntro"/>
        <w:widowControl w:val="0"/>
        <w:rPr>
          <w:i/>
        </w:rPr>
      </w:pPr>
      <w:r>
        <w:rPr>
          <w:i/>
        </w:rPr>
        <w:t>North Wootton</w:t>
      </w:r>
    </w:p>
    <w:p w:rsidR="003A0F7E" w:rsidRDefault="000E4E3F" w:rsidP="00B249BF">
      <w:pPr>
        <w:pStyle w:val="DPDIntro"/>
        <w:widowControl w:val="0"/>
        <w:numPr>
          <w:ilvl w:val="0"/>
          <w:numId w:val="13"/>
        </w:numPr>
        <w:rPr>
          <w:b w:val="0"/>
        </w:rPr>
      </w:pPr>
      <w:r>
        <w:rPr>
          <w:b w:val="0"/>
        </w:rPr>
        <w:t>North Wootton is identified in CS policy CS03 as an area for growth.  However, the revised SA (attached to Council’s Statement on Issue 8)</w:t>
      </w:r>
      <w:r w:rsidR="00B3162D">
        <w:rPr>
          <w:b w:val="0"/>
        </w:rPr>
        <w:t xml:space="preserve"> considered three potential development sites but it confirms that in particular there are issues regarding access and the impact of development on the</w:t>
      </w:r>
      <w:r w:rsidR="00BA609D">
        <w:rPr>
          <w:b w:val="0"/>
        </w:rPr>
        <w:t xml:space="preserve"> Area of Outstanding Natural Beauty (</w:t>
      </w:r>
      <w:r w:rsidR="00B3162D">
        <w:rPr>
          <w:b w:val="0"/>
        </w:rPr>
        <w:t>AONB</w:t>
      </w:r>
      <w:r w:rsidR="00BA609D">
        <w:rPr>
          <w:b w:val="0"/>
        </w:rPr>
        <w:t>)</w:t>
      </w:r>
      <w:r w:rsidR="00B3162D">
        <w:rPr>
          <w:b w:val="0"/>
        </w:rPr>
        <w:t xml:space="preserve">.  The County Highways Authority objects to sites 712 and 1290 on the grounds that a satisfactory access could not be provided and the Natural England do not support site 1180 because it is within the AONB. </w:t>
      </w:r>
    </w:p>
    <w:p w:rsidR="003A0F7E" w:rsidRDefault="00B3162D" w:rsidP="00B249BF">
      <w:pPr>
        <w:pStyle w:val="DPDIntro"/>
        <w:widowControl w:val="0"/>
        <w:numPr>
          <w:ilvl w:val="0"/>
          <w:numId w:val="13"/>
        </w:numPr>
        <w:rPr>
          <w:b w:val="0"/>
        </w:rPr>
      </w:pPr>
      <w:r w:rsidRPr="00F64081">
        <w:rPr>
          <w:b w:val="0"/>
        </w:rPr>
        <w:t xml:space="preserve">Whilst I accept that </w:t>
      </w:r>
      <w:r w:rsidR="00F64081" w:rsidRPr="00F64081">
        <w:rPr>
          <w:b w:val="0"/>
        </w:rPr>
        <w:t xml:space="preserve">there is </w:t>
      </w:r>
      <w:r w:rsidRPr="00F64081">
        <w:rPr>
          <w:b w:val="0"/>
        </w:rPr>
        <w:t>a reasonable range of facil</w:t>
      </w:r>
      <w:r w:rsidR="00F64081" w:rsidRPr="00F64081">
        <w:rPr>
          <w:b w:val="0"/>
        </w:rPr>
        <w:t>i</w:t>
      </w:r>
      <w:r w:rsidRPr="00F64081">
        <w:rPr>
          <w:b w:val="0"/>
        </w:rPr>
        <w:t>ties and services</w:t>
      </w:r>
      <w:r w:rsidR="00F64081" w:rsidRPr="00F64081">
        <w:rPr>
          <w:b w:val="0"/>
        </w:rPr>
        <w:t xml:space="preserve"> nearby I agree with the Council that at the present time it has not been demonstrated (because of the constraints referred to above) that significant new development could be satisfactorily accommodated in a sustainable way.  In coming to this conclusion I have also placed weight on the fact that</w:t>
      </w:r>
      <w:r w:rsidR="00BA609D">
        <w:rPr>
          <w:b w:val="0"/>
        </w:rPr>
        <w:t xml:space="preserve"> a</w:t>
      </w:r>
      <w:r w:rsidR="00F64081" w:rsidRPr="00F64081">
        <w:rPr>
          <w:b w:val="0"/>
        </w:rPr>
        <w:t xml:space="preserve"> substantial </w:t>
      </w:r>
      <w:r w:rsidR="00BA609D">
        <w:rPr>
          <w:b w:val="0"/>
        </w:rPr>
        <w:t xml:space="preserve">amount of </w:t>
      </w:r>
      <w:r w:rsidR="00F64081" w:rsidRPr="00F64081">
        <w:rPr>
          <w:b w:val="0"/>
        </w:rPr>
        <w:t>new housing is proposed nearby at both South Wootton and Knights Hill.</w:t>
      </w:r>
      <w:r w:rsidR="009C5888">
        <w:rPr>
          <w:b w:val="0"/>
        </w:rPr>
        <w:t xml:space="preserve">  This is a matter that could be reconsidered as part of the local plan preparation, should circumstances so dictate.</w:t>
      </w:r>
    </w:p>
    <w:p w:rsidR="009C5888" w:rsidRPr="009C5888" w:rsidRDefault="009C5888" w:rsidP="009C5888">
      <w:pPr>
        <w:pStyle w:val="DPDIntro"/>
        <w:widowControl w:val="0"/>
      </w:pPr>
      <w:r>
        <w:t>Conclusion on Issue 3</w:t>
      </w:r>
    </w:p>
    <w:p w:rsidR="000F3492" w:rsidRPr="00833834" w:rsidRDefault="009C5888" w:rsidP="000F3492">
      <w:pPr>
        <w:pStyle w:val="DPDIntro"/>
        <w:widowControl w:val="0"/>
        <w:numPr>
          <w:ilvl w:val="0"/>
          <w:numId w:val="13"/>
        </w:numPr>
        <w:rPr>
          <w:b w:val="0"/>
        </w:rPr>
      </w:pPr>
      <w:r w:rsidRPr="00833834">
        <w:rPr>
          <w:b w:val="0"/>
        </w:rPr>
        <w:t xml:space="preserve">I am satisfied that, as modified, the policies and allocations for King’s Lynn and the surrounding area are </w:t>
      </w:r>
      <w:r w:rsidR="003D594C" w:rsidRPr="00833834">
        <w:rPr>
          <w:b w:val="0"/>
        </w:rPr>
        <w:t xml:space="preserve">justified and in all other respects </w:t>
      </w:r>
      <w:r w:rsidRPr="00833834">
        <w:rPr>
          <w:b w:val="0"/>
        </w:rPr>
        <w:t>sound.</w:t>
      </w:r>
    </w:p>
    <w:p w:rsidR="00057766" w:rsidRPr="00FA0B0B" w:rsidRDefault="00704311" w:rsidP="00AA258E">
      <w:pPr>
        <w:pStyle w:val="DPDIntro"/>
        <w:widowControl w:val="0"/>
        <w:rPr>
          <w:color w:val="000000"/>
        </w:rPr>
      </w:pPr>
      <w:r w:rsidRPr="00FA0B0B">
        <w:rPr>
          <w:color w:val="000000"/>
        </w:rPr>
        <w:t xml:space="preserve">Issue </w:t>
      </w:r>
      <w:r w:rsidR="003E26AE">
        <w:rPr>
          <w:color w:val="000000"/>
        </w:rPr>
        <w:t>4</w:t>
      </w:r>
      <w:r w:rsidR="00B73253" w:rsidRPr="00FA0B0B">
        <w:rPr>
          <w:color w:val="000000"/>
        </w:rPr>
        <w:t xml:space="preserve"> </w:t>
      </w:r>
      <w:r w:rsidRPr="00FA0B0B">
        <w:rPr>
          <w:color w:val="000000"/>
        </w:rPr>
        <w:t xml:space="preserve">– </w:t>
      </w:r>
      <w:r w:rsidR="00F669F9">
        <w:rPr>
          <w:color w:val="000000"/>
        </w:rPr>
        <w:t>Whether or not</w:t>
      </w:r>
      <w:r w:rsidR="003A0F7E">
        <w:rPr>
          <w:color w:val="000000"/>
        </w:rPr>
        <w:t xml:space="preserve"> the </w:t>
      </w:r>
      <w:r w:rsidR="001B366B">
        <w:rPr>
          <w:color w:val="000000"/>
        </w:rPr>
        <w:t xml:space="preserve">Policies, including the </w:t>
      </w:r>
      <w:r w:rsidR="003A0F7E">
        <w:rPr>
          <w:color w:val="000000"/>
        </w:rPr>
        <w:t>Allocations</w:t>
      </w:r>
      <w:r w:rsidR="001B366B">
        <w:rPr>
          <w:color w:val="000000"/>
        </w:rPr>
        <w:t>,</w:t>
      </w:r>
      <w:r w:rsidR="003A0F7E">
        <w:rPr>
          <w:color w:val="000000"/>
        </w:rPr>
        <w:t xml:space="preserve"> for the Identified Towns </w:t>
      </w:r>
      <w:r w:rsidR="00F669F9">
        <w:rPr>
          <w:color w:val="000000"/>
        </w:rPr>
        <w:t xml:space="preserve">are </w:t>
      </w:r>
      <w:proofErr w:type="gramStart"/>
      <w:r w:rsidR="001B366B">
        <w:rPr>
          <w:color w:val="000000"/>
        </w:rPr>
        <w:t>Justified</w:t>
      </w:r>
      <w:proofErr w:type="gramEnd"/>
      <w:r w:rsidR="00F669F9">
        <w:rPr>
          <w:color w:val="000000"/>
        </w:rPr>
        <w:t>.</w:t>
      </w:r>
    </w:p>
    <w:p w:rsidR="00B73253" w:rsidRPr="00AD65C6" w:rsidRDefault="00AD65C6" w:rsidP="00AD65C6">
      <w:pPr>
        <w:pStyle w:val="DPDIntro"/>
        <w:widowControl w:val="0"/>
        <w:rPr>
          <w:i/>
        </w:rPr>
      </w:pPr>
      <w:proofErr w:type="spellStart"/>
      <w:r>
        <w:rPr>
          <w:i/>
        </w:rPr>
        <w:t>Downham</w:t>
      </w:r>
      <w:proofErr w:type="spellEnd"/>
      <w:r>
        <w:rPr>
          <w:i/>
        </w:rPr>
        <w:t xml:space="preserve"> Market</w:t>
      </w:r>
    </w:p>
    <w:p w:rsidR="001B366B" w:rsidRPr="001B366B" w:rsidRDefault="00D8067B" w:rsidP="001B366B">
      <w:pPr>
        <w:pStyle w:val="DPDIntro"/>
        <w:widowControl w:val="0"/>
        <w:rPr>
          <w:b w:val="0"/>
          <w:i/>
        </w:rPr>
      </w:pPr>
      <w:r>
        <w:rPr>
          <w:b w:val="0"/>
          <w:i/>
        </w:rPr>
        <w:t>H</w:t>
      </w:r>
      <w:r w:rsidR="001B366B">
        <w:rPr>
          <w:b w:val="0"/>
          <w:i/>
        </w:rPr>
        <w:t>ousing</w:t>
      </w:r>
    </w:p>
    <w:p w:rsidR="00880150" w:rsidRDefault="00A10FFC" w:rsidP="00AD65C6">
      <w:pPr>
        <w:pStyle w:val="DPDIntro"/>
        <w:widowControl w:val="0"/>
        <w:numPr>
          <w:ilvl w:val="0"/>
          <w:numId w:val="13"/>
        </w:numPr>
        <w:rPr>
          <w:b w:val="0"/>
        </w:rPr>
      </w:pPr>
      <w:r>
        <w:rPr>
          <w:b w:val="0"/>
        </w:rPr>
        <w:t xml:space="preserve">Two sites are allocated for housing and both sit within the broad ‘area for </w:t>
      </w:r>
      <w:r>
        <w:rPr>
          <w:b w:val="0"/>
        </w:rPr>
        <w:lastRenderedPageBreak/>
        <w:t xml:space="preserve">urban expansion’ as identified on CS Figure 9: </w:t>
      </w:r>
      <w:proofErr w:type="spellStart"/>
      <w:r>
        <w:rPr>
          <w:b w:val="0"/>
        </w:rPr>
        <w:t>Downham</w:t>
      </w:r>
      <w:proofErr w:type="spellEnd"/>
      <w:r>
        <w:rPr>
          <w:b w:val="0"/>
        </w:rPr>
        <w:t xml:space="preserve"> Market Diagram.  It was suggested, for example by the Town Council, that the allocation should be spread over a larger number of smaller sites.  </w:t>
      </w:r>
      <w:r w:rsidR="007D07E5">
        <w:rPr>
          <w:b w:val="0"/>
        </w:rPr>
        <w:t>T</w:t>
      </w:r>
      <w:r>
        <w:rPr>
          <w:b w:val="0"/>
        </w:rPr>
        <w:t xml:space="preserve">his would be one way of meeting the housing requirement and indeed the SA did consider a relatively high number of potential sites.  However, taking into account sustainability factors, the views of consultees and </w:t>
      </w:r>
      <w:r w:rsidR="00D8067B">
        <w:rPr>
          <w:b w:val="0"/>
        </w:rPr>
        <w:t xml:space="preserve">the need to secure delivery, </w:t>
      </w:r>
      <w:r>
        <w:rPr>
          <w:b w:val="0"/>
        </w:rPr>
        <w:t>the</w:t>
      </w:r>
      <w:r w:rsidR="00D8067B">
        <w:rPr>
          <w:b w:val="0"/>
        </w:rPr>
        <w:t xml:space="preserve"> Council concluded that the allocation of two site</w:t>
      </w:r>
      <w:r w:rsidR="00BA609D">
        <w:rPr>
          <w:b w:val="0"/>
        </w:rPr>
        <w:t>s</w:t>
      </w:r>
      <w:r w:rsidR="00D8067B">
        <w:rPr>
          <w:b w:val="0"/>
        </w:rPr>
        <w:t xml:space="preserve"> was sound.  I was presented with no robust evidence that would demonstrate to the contrary and I conclude that the Council’s approach, as set out in policies F1.3 and F1.4, is justified.</w:t>
      </w:r>
      <w:r w:rsidR="00B6698A">
        <w:rPr>
          <w:b w:val="0"/>
        </w:rPr>
        <w:t xml:space="preserve">  In order to reflect the current situation </w:t>
      </w:r>
      <w:r w:rsidR="00FD6C8E">
        <w:rPr>
          <w:b w:val="0"/>
        </w:rPr>
        <w:t xml:space="preserve">and to ensure that the policies for the town will be effective, </w:t>
      </w:r>
      <w:r w:rsidR="00437E35">
        <w:rPr>
          <w:b w:val="0"/>
        </w:rPr>
        <w:t>the Council is proposing</w:t>
      </w:r>
      <w:r w:rsidR="00B6698A">
        <w:rPr>
          <w:b w:val="0"/>
        </w:rPr>
        <w:t xml:space="preserve"> that the plan ‘Inset F1 </w:t>
      </w:r>
      <w:proofErr w:type="spellStart"/>
      <w:r w:rsidR="00B6698A">
        <w:rPr>
          <w:b w:val="0"/>
        </w:rPr>
        <w:t>Downham</w:t>
      </w:r>
      <w:proofErr w:type="spellEnd"/>
      <w:r w:rsidR="00B6698A">
        <w:rPr>
          <w:b w:val="0"/>
        </w:rPr>
        <w:t xml:space="preserve"> Market’ is amended to correctly identify the Strategic </w:t>
      </w:r>
      <w:r w:rsidR="00BA609D">
        <w:rPr>
          <w:b w:val="0"/>
        </w:rPr>
        <w:t>R</w:t>
      </w:r>
      <w:r w:rsidR="00B6698A">
        <w:rPr>
          <w:b w:val="0"/>
        </w:rPr>
        <w:t>oad Network in the area (</w:t>
      </w:r>
      <w:r w:rsidR="00B6698A">
        <w:t>MM30</w:t>
      </w:r>
      <w:r w:rsidR="00B6698A">
        <w:rPr>
          <w:b w:val="0"/>
        </w:rPr>
        <w:t>).</w:t>
      </w:r>
    </w:p>
    <w:p w:rsidR="001B366B" w:rsidRPr="001B366B" w:rsidRDefault="001B366B" w:rsidP="001B366B">
      <w:pPr>
        <w:pStyle w:val="DPDIntro"/>
        <w:widowControl w:val="0"/>
        <w:rPr>
          <w:b w:val="0"/>
          <w:i/>
        </w:rPr>
      </w:pPr>
      <w:r>
        <w:rPr>
          <w:b w:val="0"/>
          <w:i/>
        </w:rPr>
        <w:t>Employment</w:t>
      </w:r>
    </w:p>
    <w:p w:rsidR="001B366B" w:rsidRDefault="00D8067B" w:rsidP="000C16D5">
      <w:pPr>
        <w:pStyle w:val="DPDIntro"/>
        <w:widowControl w:val="0"/>
        <w:numPr>
          <w:ilvl w:val="0"/>
          <w:numId w:val="13"/>
        </w:numPr>
        <w:rPr>
          <w:b w:val="0"/>
        </w:rPr>
      </w:pPr>
      <w:r w:rsidRPr="000C16D5">
        <w:rPr>
          <w:b w:val="0"/>
        </w:rPr>
        <w:t>Policy F1.2 allocates land off St John’s Way for employment purposes.</w:t>
      </w:r>
      <w:r w:rsidR="000C16D5" w:rsidRPr="000C16D5">
        <w:rPr>
          <w:b w:val="0"/>
        </w:rPr>
        <w:t xml:space="preserve">  The site has good access, would form an extension to an existing employment area and its location conforms </w:t>
      </w:r>
      <w:proofErr w:type="gramStart"/>
      <w:r w:rsidR="000C16D5" w:rsidRPr="000C16D5">
        <w:rPr>
          <w:b w:val="0"/>
        </w:rPr>
        <w:t>with</w:t>
      </w:r>
      <w:proofErr w:type="gramEnd"/>
      <w:r w:rsidR="000C16D5" w:rsidRPr="000C16D5">
        <w:rPr>
          <w:b w:val="0"/>
        </w:rPr>
        <w:t xml:space="preserve"> the employment expansion area as identified in Figure 9 of the CS.  The allocation of this land is justified.</w:t>
      </w:r>
    </w:p>
    <w:p w:rsidR="00DF15BB" w:rsidRDefault="00DF15BB" w:rsidP="00DF15BB">
      <w:pPr>
        <w:pStyle w:val="DPDIntro"/>
        <w:widowControl w:val="0"/>
        <w:numPr>
          <w:ilvl w:val="0"/>
          <w:numId w:val="13"/>
        </w:numPr>
        <w:rPr>
          <w:b w:val="0"/>
        </w:rPr>
      </w:pPr>
      <w:r>
        <w:rPr>
          <w:b w:val="0"/>
        </w:rPr>
        <w:t>In the interests of highway safety and to reflect the appropriate strategy for the site, more detail is required regarding access arrangements t</w:t>
      </w:r>
      <w:r w:rsidR="000367DD">
        <w:rPr>
          <w:b w:val="0"/>
        </w:rPr>
        <w:t>o the</w:t>
      </w:r>
      <w:r>
        <w:rPr>
          <w:b w:val="0"/>
        </w:rPr>
        <w:t xml:space="preserve"> land and </w:t>
      </w:r>
      <w:r>
        <w:t>MM31</w:t>
      </w:r>
      <w:r>
        <w:rPr>
          <w:b w:val="0"/>
        </w:rPr>
        <w:t xml:space="preserve"> is therefore recommended.     </w:t>
      </w:r>
    </w:p>
    <w:p w:rsidR="003A0F7E" w:rsidRDefault="00AD65C6" w:rsidP="00D8067B">
      <w:pPr>
        <w:pStyle w:val="DPDIntro"/>
        <w:widowControl w:val="0"/>
        <w:rPr>
          <w:b w:val="0"/>
        </w:rPr>
      </w:pPr>
      <w:r w:rsidRPr="00AD65C6">
        <w:rPr>
          <w:i/>
        </w:rPr>
        <w:t>Hunstanton</w:t>
      </w:r>
    </w:p>
    <w:p w:rsidR="001B366B" w:rsidRPr="001B366B" w:rsidRDefault="001B366B" w:rsidP="001B366B">
      <w:pPr>
        <w:pStyle w:val="DPDIntro"/>
        <w:widowControl w:val="0"/>
        <w:rPr>
          <w:b w:val="0"/>
          <w:i/>
        </w:rPr>
      </w:pPr>
      <w:r>
        <w:rPr>
          <w:b w:val="0"/>
          <w:i/>
        </w:rPr>
        <w:t>Housing</w:t>
      </w:r>
    </w:p>
    <w:p w:rsidR="001B366B" w:rsidRDefault="00507273" w:rsidP="00B249BF">
      <w:pPr>
        <w:pStyle w:val="DPDIntro"/>
        <w:widowControl w:val="0"/>
        <w:numPr>
          <w:ilvl w:val="0"/>
          <w:numId w:val="13"/>
        </w:numPr>
        <w:rPr>
          <w:b w:val="0"/>
        </w:rPr>
      </w:pPr>
      <w:r>
        <w:rPr>
          <w:b w:val="0"/>
        </w:rPr>
        <w:t>The CS requires new allocations to accommodate at least 220 new dwellings over the plan period and Figure 10 of the CS clearly indicates the areas for urban expansion.</w:t>
      </w:r>
      <w:r w:rsidR="00776B49">
        <w:rPr>
          <w:b w:val="0"/>
        </w:rPr>
        <w:t xml:space="preserve">  Comparatively few sites were considered in the SA and no site displays a highly positive effect in the majority of categories.  However, those sites selected are within the CS indicative direction of growth, would not have an adverse impact on the AONB and </w:t>
      </w:r>
      <w:r w:rsidR="00C05384">
        <w:rPr>
          <w:b w:val="0"/>
        </w:rPr>
        <w:t>are reasonably located in terms of the town’s facilities and services.  Concerns were expressed regarding highway safety and the impact of development on heritage assets.  However, where appropriate, safe vehicular and pedestrian accesses are required; Heritage Asset Statements are required; and Archaeological Field Evaluations should be submitted with any planning application.  I am satisfied that the criteria listed in the policies cover the appropriate issues and that the Council’s approach is sound.</w:t>
      </w:r>
    </w:p>
    <w:p w:rsidR="00880150" w:rsidRPr="00880150" w:rsidRDefault="0007498B" w:rsidP="00B249BF">
      <w:pPr>
        <w:pStyle w:val="DPDIntro"/>
        <w:widowControl w:val="0"/>
        <w:numPr>
          <w:ilvl w:val="0"/>
          <w:numId w:val="13"/>
        </w:numPr>
        <w:rPr>
          <w:b w:val="0"/>
        </w:rPr>
      </w:pPr>
      <w:r>
        <w:rPr>
          <w:b w:val="0"/>
        </w:rPr>
        <w:t xml:space="preserve">There is a lack of clarity regarding the precise proposals for the site to the south of Hunstanton Commercial Park (policy F2.3).  In order to ensure the satisfactory delivery of the site the Council is proposing to include more detail about the various forms of residential development that would be expected on the site and to require the preparation of a comprehensive scheme for the whole site.  </w:t>
      </w:r>
      <w:r w:rsidR="00BA609D">
        <w:rPr>
          <w:b w:val="0"/>
        </w:rPr>
        <w:t xml:space="preserve">Such changes are justified and </w:t>
      </w:r>
      <w:r w:rsidR="00880150">
        <w:t>MM32</w:t>
      </w:r>
      <w:r>
        <w:rPr>
          <w:b w:val="0"/>
        </w:rPr>
        <w:t xml:space="preserve"> is therefore recommended.</w:t>
      </w:r>
    </w:p>
    <w:p w:rsidR="00880150" w:rsidRDefault="0007498B" w:rsidP="00B249BF">
      <w:pPr>
        <w:pStyle w:val="DPDIntro"/>
        <w:widowControl w:val="0"/>
        <w:numPr>
          <w:ilvl w:val="0"/>
          <w:numId w:val="13"/>
        </w:numPr>
        <w:rPr>
          <w:b w:val="0"/>
        </w:rPr>
      </w:pPr>
      <w:r w:rsidRPr="0007498B">
        <w:rPr>
          <w:b w:val="0"/>
        </w:rPr>
        <w:t>Policy F2.4</w:t>
      </w:r>
      <w:r>
        <w:t xml:space="preserve"> </w:t>
      </w:r>
      <w:r>
        <w:rPr>
          <w:b w:val="0"/>
        </w:rPr>
        <w:t xml:space="preserve">for land north of Hunstanton Road includes no reference to the local highway improvements that would be required or to the need to submit a site-specific Flood Risk Assessment.  These are requirements necessary to </w:t>
      </w:r>
      <w:r>
        <w:rPr>
          <w:b w:val="0"/>
        </w:rPr>
        <w:lastRenderedPageBreak/>
        <w:t xml:space="preserve">ensure that </w:t>
      </w:r>
      <w:r w:rsidR="00704D81">
        <w:rPr>
          <w:b w:val="0"/>
        </w:rPr>
        <w:t xml:space="preserve">the development can be satisfactorily delivered and therefore </w:t>
      </w:r>
      <w:r w:rsidR="00880150">
        <w:t>MM33</w:t>
      </w:r>
      <w:r w:rsidR="00704D81">
        <w:rPr>
          <w:b w:val="0"/>
        </w:rPr>
        <w:t xml:space="preserve"> is recommended.</w:t>
      </w:r>
    </w:p>
    <w:p w:rsidR="001B366B" w:rsidRPr="001B366B" w:rsidRDefault="001B366B" w:rsidP="001B366B">
      <w:pPr>
        <w:pStyle w:val="DPDIntro"/>
        <w:widowControl w:val="0"/>
        <w:rPr>
          <w:b w:val="0"/>
          <w:i/>
        </w:rPr>
      </w:pPr>
      <w:r>
        <w:rPr>
          <w:b w:val="0"/>
          <w:i/>
        </w:rPr>
        <w:t>Town Centre</w:t>
      </w:r>
    </w:p>
    <w:p w:rsidR="001B366B" w:rsidRPr="00BE00A6" w:rsidRDefault="003115D3" w:rsidP="00A51406">
      <w:pPr>
        <w:pStyle w:val="DPDIntro"/>
        <w:widowControl w:val="0"/>
        <w:numPr>
          <w:ilvl w:val="0"/>
          <w:numId w:val="13"/>
        </w:numPr>
        <w:rPr>
          <w:b w:val="0"/>
        </w:rPr>
      </w:pPr>
      <w:r w:rsidRPr="00BE00A6">
        <w:rPr>
          <w:b w:val="0"/>
        </w:rPr>
        <w:t>It is important that</w:t>
      </w:r>
      <w:r w:rsidR="001560EE" w:rsidRPr="00BE00A6">
        <w:rPr>
          <w:b w:val="0"/>
        </w:rPr>
        <w:t xml:space="preserve"> the viability and vitality of Hunstanton Town Centre is retained and if possible improved and policy F2.1 seeks to enable the achievement of that objective and is justified.</w:t>
      </w:r>
      <w:r w:rsidRPr="00BE00A6">
        <w:rPr>
          <w:b w:val="0"/>
        </w:rPr>
        <w:t xml:space="preserve"> </w:t>
      </w:r>
    </w:p>
    <w:p w:rsidR="001B366B" w:rsidRPr="001B366B" w:rsidRDefault="001B366B" w:rsidP="001B366B">
      <w:pPr>
        <w:pStyle w:val="DPDIntro"/>
        <w:widowControl w:val="0"/>
        <w:rPr>
          <w:b w:val="0"/>
          <w:i/>
        </w:rPr>
      </w:pPr>
      <w:r>
        <w:rPr>
          <w:b w:val="0"/>
          <w:i/>
        </w:rPr>
        <w:t>Employment</w:t>
      </w:r>
    </w:p>
    <w:p w:rsidR="001B366B" w:rsidRDefault="00507273" w:rsidP="00B249BF">
      <w:pPr>
        <w:pStyle w:val="DPDIntro"/>
        <w:widowControl w:val="0"/>
        <w:numPr>
          <w:ilvl w:val="0"/>
          <w:numId w:val="13"/>
        </w:numPr>
        <w:rPr>
          <w:b w:val="0"/>
        </w:rPr>
      </w:pPr>
      <w:r>
        <w:rPr>
          <w:b w:val="0"/>
        </w:rPr>
        <w:t>The provision of about 1ha of employment land is required by CS policy CS10</w:t>
      </w:r>
      <w:r w:rsidR="00C05384">
        <w:rPr>
          <w:b w:val="0"/>
        </w:rPr>
        <w:t xml:space="preserve"> and this is allocated under policy F2.5.</w:t>
      </w:r>
      <w:r w:rsidR="003115D3">
        <w:rPr>
          <w:b w:val="0"/>
        </w:rPr>
        <w:t xml:space="preserve">  The site is adjacent to housing allocation F2.3 and the supporting text confirms that it may be appropriate to develop the two sites together in order to optimise viability.  Bearing in mind that the Borough Council would support the provision of a care home on the employment site but that there is also reference to the provision of </w:t>
      </w:r>
      <w:r w:rsidR="007D07E5">
        <w:rPr>
          <w:b w:val="0"/>
        </w:rPr>
        <w:t>‘</w:t>
      </w:r>
      <w:r w:rsidR="003115D3">
        <w:rPr>
          <w:b w:val="0"/>
        </w:rPr>
        <w:t>housing with care</w:t>
      </w:r>
      <w:r w:rsidR="007D07E5">
        <w:rPr>
          <w:b w:val="0"/>
        </w:rPr>
        <w:t>’</w:t>
      </w:r>
      <w:r w:rsidR="003115D3">
        <w:rPr>
          <w:b w:val="0"/>
        </w:rPr>
        <w:t xml:space="preserve"> on the adjacent residential allocation, I agree that a comprehensive approach to the two sites would be favourable and that the approach being taken is justified.</w:t>
      </w:r>
    </w:p>
    <w:p w:rsidR="003A0F7E" w:rsidRPr="00AD65C6" w:rsidRDefault="00AD65C6" w:rsidP="00AD65C6">
      <w:pPr>
        <w:pStyle w:val="DPDIntro"/>
        <w:widowControl w:val="0"/>
        <w:rPr>
          <w:i/>
        </w:rPr>
      </w:pPr>
      <w:proofErr w:type="spellStart"/>
      <w:r>
        <w:rPr>
          <w:i/>
        </w:rPr>
        <w:t>Wisbech</w:t>
      </w:r>
      <w:proofErr w:type="spellEnd"/>
      <w:r>
        <w:rPr>
          <w:i/>
        </w:rPr>
        <w:t xml:space="preserve"> Fringes</w:t>
      </w:r>
      <w:r w:rsidR="00BB4AD6">
        <w:rPr>
          <w:i/>
        </w:rPr>
        <w:t xml:space="preserve"> and </w:t>
      </w:r>
      <w:proofErr w:type="spellStart"/>
      <w:r w:rsidR="00BB4AD6">
        <w:rPr>
          <w:i/>
        </w:rPr>
        <w:t>Walsoken</w:t>
      </w:r>
      <w:proofErr w:type="spellEnd"/>
    </w:p>
    <w:p w:rsidR="003A0F7E" w:rsidRDefault="00E721B8" w:rsidP="00B249BF">
      <w:pPr>
        <w:pStyle w:val="DPDIntro"/>
        <w:widowControl w:val="0"/>
        <w:numPr>
          <w:ilvl w:val="0"/>
          <w:numId w:val="13"/>
        </w:numPr>
        <w:rPr>
          <w:b w:val="0"/>
        </w:rPr>
      </w:pPr>
      <w:proofErr w:type="spellStart"/>
      <w:r>
        <w:rPr>
          <w:b w:val="0"/>
        </w:rPr>
        <w:t>Wisbech</w:t>
      </w:r>
      <w:proofErr w:type="spellEnd"/>
      <w:r>
        <w:rPr>
          <w:b w:val="0"/>
        </w:rPr>
        <w:t xml:space="preserve"> is</w:t>
      </w:r>
      <w:r w:rsidR="006507B5">
        <w:rPr>
          <w:b w:val="0"/>
        </w:rPr>
        <w:t xml:space="preserve"> within</w:t>
      </w:r>
      <w:r>
        <w:rPr>
          <w:b w:val="0"/>
        </w:rPr>
        <w:t xml:space="preserve"> </w:t>
      </w:r>
      <w:r w:rsidR="006507B5">
        <w:rPr>
          <w:b w:val="0"/>
        </w:rPr>
        <w:t xml:space="preserve">Fenland District </w:t>
      </w:r>
      <w:r>
        <w:rPr>
          <w:b w:val="0"/>
        </w:rPr>
        <w:t xml:space="preserve">but lies adjacent to the boundary </w:t>
      </w:r>
      <w:r w:rsidR="006507B5">
        <w:rPr>
          <w:b w:val="0"/>
        </w:rPr>
        <w:t>with</w:t>
      </w:r>
      <w:r>
        <w:rPr>
          <w:b w:val="0"/>
        </w:rPr>
        <w:t xml:space="preserve"> the Borough.  The town is a significant service centre for the wider area and the CS makes provision for at least 550 dwellings within the Borough to help meet the town’s housing needs.  The Core Strategy Diagram identifies potential areas for urban expansion to the east of the town</w:t>
      </w:r>
      <w:r w:rsidR="00BB4AD6">
        <w:rPr>
          <w:b w:val="0"/>
        </w:rPr>
        <w:t xml:space="preserve"> and the CS identifies </w:t>
      </w:r>
      <w:proofErr w:type="spellStart"/>
      <w:r w:rsidR="00BB4AD6">
        <w:rPr>
          <w:b w:val="0"/>
        </w:rPr>
        <w:t>Walsoken</w:t>
      </w:r>
      <w:proofErr w:type="spellEnd"/>
      <w:r w:rsidR="00BB4AD6">
        <w:rPr>
          <w:b w:val="0"/>
        </w:rPr>
        <w:t xml:space="preserve"> as ‘a settlement adjacent to a main town’ where there is potential for urban expansion</w:t>
      </w:r>
      <w:r>
        <w:rPr>
          <w:b w:val="0"/>
        </w:rPr>
        <w:t>.</w:t>
      </w:r>
      <w:r w:rsidR="00BB4AD6">
        <w:rPr>
          <w:b w:val="0"/>
        </w:rPr>
        <w:t xml:space="preserve">  The Council has identified land immediately to the south of </w:t>
      </w:r>
      <w:proofErr w:type="spellStart"/>
      <w:r w:rsidR="00BB4AD6">
        <w:rPr>
          <w:b w:val="0"/>
        </w:rPr>
        <w:t>Walsoken</w:t>
      </w:r>
      <w:proofErr w:type="spellEnd"/>
      <w:r w:rsidR="00BB4AD6">
        <w:rPr>
          <w:b w:val="0"/>
        </w:rPr>
        <w:t xml:space="preserve">, and adjacent to </w:t>
      </w:r>
      <w:proofErr w:type="spellStart"/>
      <w:r w:rsidR="00BB4AD6">
        <w:rPr>
          <w:b w:val="0"/>
        </w:rPr>
        <w:t>Wisbech</w:t>
      </w:r>
      <w:proofErr w:type="spellEnd"/>
      <w:r w:rsidR="00BB4AD6">
        <w:rPr>
          <w:b w:val="0"/>
        </w:rPr>
        <w:t>, for development.</w:t>
      </w:r>
    </w:p>
    <w:p w:rsidR="003A0F7E" w:rsidRDefault="003A0F7E" w:rsidP="00B249BF">
      <w:pPr>
        <w:pStyle w:val="DPDIntro"/>
        <w:widowControl w:val="0"/>
        <w:numPr>
          <w:ilvl w:val="0"/>
          <w:numId w:val="13"/>
        </w:numPr>
        <w:rPr>
          <w:b w:val="0"/>
        </w:rPr>
      </w:pPr>
      <w:r>
        <w:rPr>
          <w:b w:val="0"/>
        </w:rPr>
        <w:t>T</w:t>
      </w:r>
      <w:r w:rsidR="00B51125">
        <w:rPr>
          <w:b w:val="0"/>
        </w:rPr>
        <w:t>he co-operation between the Borough and Fenland District Council is evident, as exemplified in the submitted Statement of Common Ground</w:t>
      </w:r>
      <w:r w:rsidR="00B51125">
        <w:rPr>
          <w:rStyle w:val="FootnoteReference"/>
          <w:b w:val="0"/>
        </w:rPr>
        <w:footnoteReference w:id="9"/>
      </w:r>
      <w:r w:rsidR="00932FCC">
        <w:rPr>
          <w:b w:val="0"/>
        </w:rPr>
        <w:t xml:space="preserve"> and in </w:t>
      </w:r>
      <w:r w:rsidR="00B51125">
        <w:rPr>
          <w:b w:val="0"/>
        </w:rPr>
        <w:t xml:space="preserve">order to ensure that consistency of approach is achieved, policy F3.1 requires a </w:t>
      </w:r>
      <w:r w:rsidR="00A51406">
        <w:rPr>
          <w:b w:val="0"/>
        </w:rPr>
        <w:t>M</w:t>
      </w:r>
      <w:r w:rsidR="00B51125">
        <w:rPr>
          <w:b w:val="0"/>
        </w:rPr>
        <w:t>asterplan for the wider area (including the Fenland allocation) to be submitted.  Any such plan must be agreed by both Councils and it must satisfactorily demonstrate how all the elements of growth can be integrated and delivered.</w:t>
      </w:r>
      <w:r w:rsidR="0070087D">
        <w:rPr>
          <w:b w:val="0"/>
        </w:rPr>
        <w:t xml:space="preserve">  The East </w:t>
      </w:r>
      <w:proofErr w:type="spellStart"/>
      <w:r w:rsidR="0070087D">
        <w:rPr>
          <w:b w:val="0"/>
        </w:rPr>
        <w:t>Wisbech</w:t>
      </w:r>
      <w:proofErr w:type="spellEnd"/>
      <w:r w:rsidR="0070087D">
        <w:rPr>
          <w:b w:val="0"/>
        </w:rPr>
        <w:t xml:space="preserve"> Development</w:t>
      </w:r>
      <w:r w:rsidR="000367DD">
        <w:rPr>
          <w:b w:val="0"/>
        </w:rPr>
        <w:t xml:space="preserve"> Group has been established, comprising</w:t>
      </w:r>
      <w:r w:rsidR="0070087D">
        <w:rPr>
          <w:b w:val="0"/>
        </w:rPr>
        <w:t xml:space="preserve"> a range of interested parties, and it is clear to me that the mechanisms are in place to successfully take forward this area of growth.</w:t>
      </w:r>
    </w:p>
    <w:p w:rsidR="00B51125" w:rsidRDefault="0070087D" w:rsidP="00B249BF">
      <w:pPr>
        <w:pStyle w:val="DPDIntro"/>
        <w:widowControl w:val="0"/>
        <w:numPr>
          <w:ilvl w:val="0"/>
          <w:numId w:val="13"/>
        </w:numPr>
        <w:rPr>
          <w:b w:val="0"/>
        </w:rPr>
      </w:pPr>
      <w:r>
        <w:rPr>
          <w:b w:val="0"/>
        </w:rPr>
        <w:t xml:space="preserve">A range of alternative sites were assessed in the SA and although there were similar scores for a number of sites the allocated site scored comparatively well.  </w:t>
      </w:r>
      <w:r w:rsidR="00354F7B">
        <w:rPr>
          <w:b w:val="0"/>
        </w:rPr>
        <w:t xml:space="preserve">One factor, to which I have attached weight, is the relationship between the allocated site and the adjoining allocation in Fenland District.  I agree with </w:t>
      </w:r>
      <w:r>
        <w:rPr>
          <w:b w:val="0"/>
        </w:rPr>
        <w:t xml:space="preserve">the Council </w:t>
      </w:r>
      <w:r w:rsidR="00932FCC">
        <w:rPr>
          <w:b w:val="0"/>
        </w:rPr>
        <w:t xml:space="preserve">that </w:t>
      </w:r>
      <w:r w:rsidR="00354F7B">
        <w:rPr>
          <w:b w:val="0"/>
        </w:rPr>
        <w:t>the relationship between the two sites will enable a comprehensive approach to be taken which I consider will be of value in terms of the provision of access, services and facilities, consistency in terms of layout and design (thus responding appropriately to local form and character) and delivery.</w:t>
      </w:r>
    </w:p>
    <w:p w:rsidR="006507B5" w:rsidRDefault="006507B5" w:rsidP="006507B5">
      <w:pPr>
        <w:pStyle w:val="DPDIntro"/>
        <w:widowControl w:val="0"/>
        <w:numPr>
          <w:ilvl w:val="0"/>
          <w:numId w:val="13"/>
        </w:numPr>
        <w:rPr>
          <w:b w:val="0"/>
        </w:rPr>
      </w:pPr>
      <w:r>
        <w:rPr>
          <w:b w:val="0"/>
        </w:rPr>
        <w:lastRenderedPageBreak/>
        <w:t xml:space="preserve">A number of representors consider that more growth should be allocated to the </w:t>
      </w:r>
      <w:proofErr w:type="spellStart"/>
      <w:r>
        <w:rPr>
          <w:b w:val="0"/>
        </w:rPr>
        <w:t>Wisbech</w:t>
      </w:r>
      <w:proofErr w:type="spellEnd"/>
      <w:r>
        <w:rPr>
          <w:b w:val="0"/>
        </w:rPr>
        <w:t xml:space="preserve"> fringe.  Whilst in principle there may be opportunities for further growth in the locality </w:t>
      </w:r>
      <w:r w:rsidR="00860A4D">
        <w:rPr>
          <w:b w:val="0"/>
        </w:rPr>
        <w:t xml:space="preserve">one of the </w:t>
      </w:r>
      <w:r>
        <w:rPr>
          <w:b w:val="0"/>
        </w:rPr>
        <w:t>function</w:t>
      </w:r>
      <w:r w:rsidR="00860A4D">
        <w:rPr>
          <w:b w:val="0"/>
        </w:rPr>
        <w:t>s</w:t>
      </w:r>
      <w:r>
        <w:rPr>
          <w:b w:val="0"/>
        </w:rPr>
        <w:t xml:space="preserve"> of the forthcoming local plan review </w:t>
      </w:r>
      <w:r w:rsidR="00860A4D">
        <w:rPr>
          <w:b w:val="0"/>
        </w:rPr>
        <w:t xml:space="preserve">will be </w:t>
      </w:r>
      <w:r>
        <w:rPr>
          <w:b w:val="0"/>
        </w:rPr>
        <w:t xml:space="preserve">to assess need and </w:t>
      </w:r>
      <w:r w:rsidR="00BA609D">
        <w:rPr>
          <w:b w:val="0"/>
        </w:rPr>
        <w:t xml:space="preserve">if necessary </w:t>
      </w:r>
      <w:r>
        <w:rPr>
          <w:b w:val="0"/>
        </w:rPr>
        <w:t>propose appropriate growth in sustainable locations throughout the Borough.</w:t>
      </w:r>
    </w:p>
    <w:p w:rsidR="00880150" w:rsidRDefault="006507B5" w:rsidP="00B249BF">
      <w:pPr>
        <w:pStyle w:val="DPDIntro"/>
        <w:widowControl w:val="0"/>
        <w:numPr>
          <w:ilvl w:val="0"/>
          <w:numId w:val="13"/>
        </w:numPr>
        <w:rPr>
          <w:b w:val="0"/>
        </w:rPr>
      </w:pPr>
      <w:r>
        <w:rPr>
          <w:b w:val="0"/>
        </w:rPr>
        <w:t xml:space="preserve">In the interests of consistency it is proposed to include references in policy F3.1 to the requirement for the submission of a Flood Risk Assessment.  It is also proposed to require the provision of a local centre which would serve the wider allocation.  The </w:t>
      </w:r>
      <w:r w:rsidR="00E97C4E">
        <w:rPr>
          <w:b w:val="0"/>
        </w:rPr>
        <w:t>principle of such provision</w:t>
      </w:r>
      <w:r>
        <w:rPr>
          <w:b w:val="0"/>
        </w:rPr>
        <w:t xml:space="preserve"> (which would be a component of the Masterplan) is justified in terms </w:t>
      </w:r>
      <w:r w:rsidR="00E97C4E">
        <w:rPr>
          <w:b w:val="0"/>
        </w:rPr>
        <w:t>of maximising the sustainability credentials of the proposed development.  Issues of scale and delivery would have to be addressed in the Masterplan.</w:t>
      </w:r>
      <w:r>
        <w:rPr>
          <w:b w:val="0"/>
        </w:rPr>
        <w:t xml:space="preserve"> </w:t>
      </w:r>
      <w:r w:rsidR="00880150">
        <w:t>MM34</w:t>
      </w:r>
      <w:r w:rsidR="00E97C4E">
        <w:rPr>
          <w:b w:val="0"/>
        </w:rPr>
        <w:t xml:space="preserve"> is recommended accordingly.</w:t>
      </w:r>
    </w:p>
    <w:p w:rsidR="00354F7B" w:rsidRDefault="00354F7B" w:rsidP="00B249BF">
      <w:pPr>
        <w:pStyle w:val="DPDIntro"/>
        <w:widowControl w:val="0"/>
        <w:numPr>
          <w:ilvl w:val="0"/>
          <w:numId w:val="13"/>
        </w:numPr>
        <w:rPr>
          <w:b w:val="0"/>
        </w:rPr>
      </w:pPr>
      <w:r>
        <w:rPr>
          <w:b w:val="0"/>
        </w:rPr>
        <w:t xml:space="preserve">No </w:t>
      </w:r>
      <w:r w:rsidR="009C5888">
        <w:rPr>
          <w:b w:val="0"/>
        </w:rPr>
        <w:t xml:space="preserve">significant </w:t>
      </w:r>
      <w:r>
        <w:rPr>
          <w:b w:val="0"/>
        </w:rPr>
        <w:t>constraints to delivery have been identified and I am satisfied that the Council’s approach is justified and in all other respects sound.</w:t>
      </w:r>
    </w:p>
    <w:p w:rsidR="000367DD" w:rsidRPr="000367DD" w:rsidRDefault="000367DD" w:rsidP="000367DD">
      <w:pPr>
        <w:pStyle w:val="DPDIntro"/>
        <w:widowControl w:val="0"/>
      </w:pPr>
      <w:r>
        <w:t>Conclusion on Issue 4</w:t>
      </w:r>
    </w:p>
    <w:p w:rsidR="009C5888" w:rsidRDefault="009C5888" w:rsidP="00B249BF">
      <w:pPr>
        <w:pStyle w:val="DPDIntro"/>
        <w:widowControl w:val="0"/>
        <w:numPr>
          <w:ilvl w:val="0"/>
          <w:numId w:val="13"/>
        </w:numPr>
        <w:rPr>
          <w:b w:val="0"/>
        </w:rPr>
      </w:pPr>
      <w:r>
        <w:rPr>
          <w:b w:val="0"/>
        </w:rPr>
        <w:t>The evidence satisfactorily demonstrates that the policies and allocations for the identified Towns are sound.</w:t>
      </w:r>
    </w:p>
    <w:p w:rsidR="00AD65C6" w:rsidRPr="00AD65C6" w:rsidRDefault="00AD65C6" w:rsidP="00AD65C6">
      <w:pPr>
        <w:pStyle w:val="DPDIntro"/>
        <w:widowControl w:val="0"/>
      </w:pPr>
      <w:r>
        <w:t xml:space="preserve">Issue </w:t>
      </w:r>
      <w:r w:rsidR="003E26AE">
        <w:t>5</w:t>
      </w:r>
      <w:r>
        <w:t xml:space="preserve"> – </w:t>
      </w:r>
      <w:r w:rsidR="00F669F9">
        <w:t>Whether or not</w:t>
      </w:r>
      <w:r>
        <w:t xml:space="preserve"> the Allocations for Settlements in Rural West Norfolk </w:t>
      </w:r>
      <w:r w:rsidR="00F669F9">
        <w:t xml:space="preserve">are </w:t>
      </w:r>
      <w:proofErr w:type="gramStart"/>
      <w:r w:rsidR="001B366B">
        <w:t>Justified</w:t>
      </w:r>
      <w:proofErr w:type="gramEnd"/>
      <w:r w:rsidR="00F669F9">
        <w:t>.</w:t>
      </w:r>
    </w:p>
    <w:p w:rsidR="003A0F7E" w:rsidRPr="00AD65C6" w:rsidRDefault="00AD65C6" w:rsidP="00AD65C6">
      <w:pPr>
        <w:pStyle w:val="DPDIntro"/>
        <w:widowControl w:val="0"/>
        <w:rPr>
          <w:i/>
        </w:rPr>
      </w:pPr>
      <w:r>
        <w:rPr>
          <w:i/>
        </w:rPr>
        <w:t xml:space="preserve">Brancaster/Brancaster </w:t>
      </w:r>
      <w:proofErr w:type="spellStart"/>
      <w:r>
        <w:rPr>
          <w:i/>
        </w:rPr>
        <w:t>Staithe</w:t>
      </w:r>
      <w:proofErr w:type="spellEnd"/>
      <w:r>
        <w:rPr>
          <w:i/>
        </w:rPr>
        <w:t xml:space="preserve">/Burnham </w:t>
      </w:r>
      <w:proofErr w:type="spellStart"/>
      <w:r>
        <w:rPr>
          <w:i/>
        </w:rPr>
        <w:t>Deepdale</w:t>
      </w:r>
      <w:proofErr w:type="spellEnd"/>
    </w:p>
    <w:p w:rsidR="00392FD8" w:rsidRDefault="001467E0" w:rsidP="00B249BF">
      <w:pPr>
        <w:pStyle w:val="DPDIntro"/>
        <w:widowControl w:val="0"/>
        <w:numPr>
          <w:ilvl w:val="0"/>
          <w:numId w:val="13"/>
        </w:numPr>
        <w:rPr>
          <w:b w:val="0"/>
        </w:rPr>
      </w:pPr>
      <w:r>
        <w:rPr>
          <w:b w:val="0"/>
        </w:rPr>
        <w:t xml:space="preserve">The SADMPP allocates a site for </w:t>
      </w:r>
      <w:r w:rsidR="000367DD">
        <w:rPr>
          <w:b w:val="0"/>
        </w:rPr>
        <w:t xml:space="preserve">at least </w:t>
      </w:r>
      <w:r>
        <w:rPr>
          <w:b w:val="0"/>
        </w:rPr>
        <w:t xml:space="preserve">5 dwellings at Brancaster and a site for </w:t>
      </w:r>
      <w:r w:rsidR="000367DD">
        <w:rPr>
          <w:b w:val="0"/>
        </w:rPr>
        <w:t xml:space="preserve">at least </w:t>
      </w:r>
      <w:r>
        <w:rPr>
          <w:b w:val="0"/>
        </w:rPr>
        <w:t xml:space="preserve">10 dwellings at Brancaster </w:t>
      </w:r>
      <w:proofErr w:type="spellStart"/>
      <w:r>
        <w:rPr>
          <w:b w:val="0"/>
        </w:rPr>
        <w:t>Staithe</w:t>
      </w:r>
      <w:proofErr w:type="spellEnd"/>
      <w:r>
        <w:rPr>
          <w:b w:val="0"/>
        </w:rPr>
        <w:t xml:space="preserve">/Burnham </w:t>
      </w:r>
      <w:proofErr w:type="spellStart"/>
      <w:r>
        <w:rPr>
          <w:b w:val="0"/>
        </w:rPr>
        <w:t>Deepdale</w:t>
      </w:r>
      <w:proofErr w:type="spellEnd"/>
      <w:r>
        <w:rPr>
          <w:b w:val="0"/>
        </w:rPr>
        <w:t>.  The site at Brancaster is within the AONB but</w:t>
      </w:r>
      <w:r w:rsidR="00392FD8">
        <w:rPr>
          <w:b w:val="0"/>
        </w:rPr>
        <w:t xml:space="preserve"> because it is bordered by existing development </w:t>
      </w:r>
      <w:r w:rsidR="00CA50F7">
        <w:rPr>
          <w:b w:val="0"/>
        </w:rPr>
        <w:t>on two sides</w:t>
      </w:r>
      <w:r w:rsidR="00392FD8">
        <w:rPr>
          <w:b w:val="0"/>
        </w:rPr>
        <w:t xml:space="preserve"> the visual impact will be minimal, especially as planting along the</w:t>
      </w:r>
      <w:r w:rsidR="00CA50F7">
        <w:rPr>
          <w:b w:val="0"/>
        </w:rPr>
        <w:t xml:space="preserve"> boundaries</w:t>
      </w:r>
      <w:r w:rsidR="00392FD8">
        <w:rPr>
          <w:b w:val="0"/>
        </w:rPr>
        <w:t xml:space="preserve"> could be strengthened to provide natural screening.  The site is close to the Brancaster Conservation Area boundary but there is no reason to doubt that the Borough Council will take this into account in the consideration of any planning application.  In any event the policy specifically refers to the need to take into account the impact of any development on the AONB and the </w:t>
      </w:r>
      <w:r w:rsidR="00CA50F7">
        <w:rPr>
          <w:b w:val="0"/>
        </w:rPr>
        <w:t xml:space="preserve">setting of the </w:t>
      </w:r>
      <w:r w:rsidR="00392FD8">
        <w:rPr>
          <w:b w:val="0"/>
        </w:rPr>
        <w:t>Conservation Area.</w:t>
      </w:r>
    </w:p>
    <w:p w:rsidR="00AC5501" w:rsidRDefault="00392FD8" w:rsidP="00B249BF">
      <w:pPr>
        <w:pStyle w:val="DPDIntro"/>
        <w:widowControl w:val="0"/>
        <w:numPr>
          <w:ilvl w:val="0"/>
          <w:numId w:val="13"/>
        </w:numPr>
        <w:rPr>
          <w:b w:val="0"/>
        </w:rPr>
      </w:pPr>
      <w:r>
        <w:rPr>
          <w:b w:val="0"/>
        </w:rPr>
        <w:t xml:space="preserve">Concerns were expressed by the Parish Council regarding the ability to walk or cycle safely to village services and facilities.  However, there is no objection to the proposal from the Highways Authority and no reason to conclude that the addition of 5 dwellings </w:t>
      </w:r>
      <w:r w:rsidR="00AC5501">
        <w:rPr>
          <w:b w:val="0"/>
        </w:rPr>
        <w:t>would have any serious implications in terms of highway safety.</w:t>
      </w:r>
    </w:p>
    <w:p w:rsidR="00833834" w:rsidRPr="004E3148" w:rsidRDefault="00AC5501" w:rsidP="00833834">
      <w:pPr>
        <w:pStyle w:val="DPDIntro"/>
        <w:widowControl w:val="0"/>
        <w:numPr>
          <w:ilvl w:val="0"/>
          <w:numId w:val="13"/>
        </w:numPr>
        <w:rPr>
          <w:b w:val="0"/>
        </w:rPr>
      </w:pPr>
      <w:r w:rsidRPr="004E3148">
        <w:rPr>
          <w:b w:val="0"/>
        </w:rPr>
        <w:t xml:space="preserve">The site at Brancaster </w:t>
      </w:r>
      <w:proofErr w:type="spellStart"/>
      <w:r w:rsidRPr="004E3148">
        <w:rPr>
          <w:b w:val="0"/>
        </w:rPr>
        <w:t>Staithe</w:t>
      </w:r>
      <w:proofErr w:type="spellEnd"/>
      <w:r w:rsidRPr="004E3148">
        <w:rPr>
          <w:b w:val="0"/>
        </w:rPr>
        <w:t xml:space="preserve">/Burnham </w:t>
      </w:r>
      <w:proofErr w:type="spellStart"/>
      <w:r w:rsidRPr="004E3148">
        <w:rPr>
          <w:b w:val="0"/>
        </w:rPr>
        <w:t>Deepdale</w:t>
      </w:r>
      <w:proofErr w:type="spellEnd"/>
      <w:r w:rsidRPr="004E3148">
        <w:rPr>
          <w:b w:val="0"/>
        </w:rPr>
        <w:t xml:space="preserve"> (G13.2) scored best in the SA.  The site is available, there are no hindrances to its delivery and I am satisfied its allocation is sound.</w:t>
      </w:r>
    </w:p>
    <w:p w:rsidR="003A0F7E" w:rsidRPr="00AD65C6" w:rsidRDefault="00AD65C6" w:rsidP="00AD65C6">
      <w:pPr>
        <w:pStyle w:val="DPDIntro"/>
        <w:widowControl w:val="0"/>
        <w:rPr>
          <w:i/>
        </w:rPr>
      </w:pPr>
      <w:r>
        <w:rPr>
          <w:i/>
        </w:rPr>
        <w:t>Burnham Market</w:t>
      </w:r>
    </w:p>
    <w:p w:rsidR="003A0F7E" w:rsidRDefault="00721BC0" w:rsidP="00B249BF">
      <w:pPr>
        <w:pStyle w:val="DPDIntro"/>
        <w:widowControl w:val="0"/>
        <w:numPr>
          <w:ilvl w:val="0"/>
          <w:numId w:val="13"/>
        </w:numPr>
        <w:rPr>
          <w:b w:val="0"/>
        </w:rPr>
      </w:pPr>
      <w:r>
        <w:rPr>
          <w:b w:val="0"/>
        </w:rPr>
        <w:t xml:space="preserve">A number of sites were assessed in the SA and the Council concluded that land at Foundry Field should be allocated for </w:t>
      </w:r>
      <w:r w:rsidR="00CA50F7">
        <w:rPr>
          <w:b w:val="0"/>
        </w:rPr>
        <w:t xml:space="preserve">at least </w:t>
      </w:r>
      <w:r>
        <w:rPr>
          <w:b w:val="0"/>
        </w:rPr>
        <w:t xml:space="preserve">32 dwellings.  The settlement is within the AONB but it is identified within the CS as a key rural service </w:t>
      </w:r>
      <w:r>
        <w:rPr>
          <w:b w:val="0"/>
        </w:rPr>
        <w:lastRenderedPageBreak/>
        <w:t>centre.  The allocation includes the provision of public parking and public toilets and the Council states that these are the exceptional circumstances that would justify allocating this scale of development in the AONB.  I agree that significant weight should be attached to the provision of these facilities</w:t>
      </w:r>
      <w:r w:rsidR="001467E0">
        <w:rPr>
          <w:b w:val="0"/>
        </w:rPr>
        <w:t xml:space="preserve"> and I am also mindful that there were no objections to the proposal from Natural England or the Norfolk Coast Partnership.</w:t>
      </w:r>
    </w:p>
    <w:p w:rsidR="001467E0" w:rsidRDefault="001467E0" w:rsidP="00B249BF">
      <w:pPr>
        <w:pStyle w:val="DPDIntro"/>
        <w:widowControl w:val="0"/>
        <w:numPr>
          <w:ilvl w:val="0"/>
          <w:numId w:val="13"/>
        </w:numPr>
        <w:rPr>
          <w:b w:val="0"/>
        </w:rPr>
      </w:pPr>
      <w:r>
        <w:rPr>
          <w:b w:val="0"/>
        </w:rPr>
        <w:t xml:space="preserve">I consider that the Council’s approach is sound but in any event I understand that planning permission has </w:t>
      </w:r>
      <w:r w:rsidR="00CA50F7">
        <w:rPr>
          <w:b w:val="0"/>
        </w:rPr>
        <w:t xml:space="preserve">now </w:t>
      </w:r>
      <w:r>
        <w:rPr>
          <w:b w:val="0"/>
        </w:rPr>
        <w:t>been granted</w:t>
      </w:r>
      <w:r w:rsidR="004E3148">
        <w:rPr>
          <w:b w:val="0"/>
        </w:rPr>
        <w:t xml:space="preserve"> for development on the site</w:t>
      </w:r>
      <w:r>
        <w:rPr>
          <w:b w:val="0"/>
        </w:rPr>
        <w:t xml:space="preserve"> </w:t>
      </w:r>
      <w:r w:rsidR="004E3148">
        <w:rPr>
          <w:b w:val="0"/>
        </w:rPr>
        <w:t>and that a majority of the houses have been built.</w:t>
      </w:r>
    </w:p>
    <w:p w:rsidR="00880150" w:rsidRDefault="00E97C4E" w:rsidP="00B249BF">
      <w:pPr>
        <w:pStyle w:val="DPDIntro"/>
        <w:widowControl w:val="0"/>
        <w:numPr>
          <w:ilvl w:val="0"/>
          <w:numId w:val="13"/>
        </w:numPr>
        <w:rPr>
          <w:b w:val="0"/>
        </w:rPr>
      </w:pPr>
      <w:r>
        <w:rPr>
          <w:b w:val="0"/>
        </w:rPr>
        <w:t>In order to accurately reflect the Council’s strategy it is recommended that the boundary of site G17.1 is amended to remove land which is not in the ownership of the developer and which it was not intended to allocate for development (</w:t>
      </w:r>
      <w:r w:rsidR="00880150">
        <w:t>MM35</w:t>
      </w:r>
      <w:r>
        <w:rPr>
          <w:b w:val="0"/>
        </w:rPr>
        <w:t>).</w:t>
      </w:r>
      <w:r w:rsidR="00FD6C8E">
        <w:rPr>
          <w:b w:val="0"/>
        </w:rPr>
        <w:t xml:space="preserve">  This will ensure that policy G17.1 will be effective.</w:t>
      </w:r>
    </w:p>
    <w:p w:rsidR="003A0F7E" w:rsidRPr="00AD65C6" w:rsidRDefault="00AD65C6" w:rsidP="00AD65C6">
      <w:pPr>
        <w:pStyle w:val="DPDIntro"/>
        <w:widowControl w:val="0"/>
        <w:rPr>
          <w:i/>
        </w:rPr>
      </w:pPr>
      <w:r>
        <w:rPr>
          <w:i/>
        </w:rPr>
        <w:t>Castle Acre</w:t>
      </w:r>
    </w:p>
    <w:p w:rsidR="001C7BDE" w:rsidRDefault="007F69DD" w:rsidP="00B249BF">
      <w:pPr>
        <w:pStyle w:val="DPDIntro"/>
        <w:widowControl w:val="0"/>
        <w:numPr>
          <w:ilvl w:val="0"/>
          <w:numId w:val="13"/>
        </w:numPr>
        <w:rPr>
          <w:b w:val="0"/>
        </w:rPr>
      </w:pPr>
      <w:r>
        <w:rPr>
          <w:b w:val="0"/>
        </w:rPr>
        <w:t xml:space="preserve">Castle Acre is an attractive rural village, much of which is designated a Conservation Area.  The site, which is allocated for </w:t>
      </w:r>
      <w:r w:rsidR="00CA50F7">
        <w:rPr>
          <w:b w:val="0"/>
        </w:rPr>
        <w:t xml:space="preserve">at least </w:t>
      </w:r>
      <w:r>
        <w:rPr>
          <w:b w:val="0"/>
        </w:rPr>
        <w:t xml:space="preserve">15 dwellings, lies to the north of the village, to the west of </w:t>
      </w:r>
      <w:proofErr w:type="spellStart"/>
      <w:r>
        <w:rPr>
          <w:b w:val="0"/>
        </w:rPr>
        <w:t>Massingham</w:t>
      </w:r>
      <w:proofErr w:type="spellEnd"/>
      <w:r>
        <w:rPr>
          <w:b w:val="0"/>
        </w:rPr>
        <w:t xml:space="preserve"> Road.  I saw on my visits the setting of the site, the listed buildings to the east of the site and the unlisted buildings </w:t>
      </w:r>
      <w:r w:rsidR="001C7BDE">
        <w:rPr>
          <w:b w:val="0"/>
        </w:rPr>
        <w:t>within the site (</w:t>
      </w:r>
      <w:r>
        <w:rPr>
          <w:b w:val="0"/>
        </w:rPr>
        <w:t>on its eastern edge</w:t>
      </w:r>
      <w:r w:rsidR="001C7BDE">
        <w:rPr>
          <w:b w:val="0"/>
        </w:rPr>
        <w:t>)</w:t>
      </w:r>
      <w:r>
        <w:rPr>
          <w:b w:val="0"/>
        </w:rPr>
        <w:t xml:space="preserve"> which are described as ‘important’ in the Castle Acre Conservation Area Statement.</w:t>
      </w:r>
    </w:p>
    <w:p w:rsidR="00E713E7" w:rsidRDefault="001C7BDE" w:rsidP="00B249BF">
      <w:pPr>
        <w:pStyle w:val="DPDIntro"/>
        <w:widowControl w:val="0"/>
        <w:numPr>
          <w:ilvl w:val="0"/>
          <w:numId w:val="13"/>
        </w:numPr>
        <w:rPr>
          <w:b w:val="0"/>
        </w:rPr>
      </w:pPr>
      <w:r w:rsidRPr="003F6E01">
        <w:rPr>
          <w:b w:val="0"/>
        </w:rPr>
        <w:t xml:space="preserve">There are very few opportunities for sustainable growth in Castle Acre but the site that has been allocated is on the edge of the settlement, would not impact significantly on heritage assets, could be assimilated satisfactorily into the village and indeed could provide an attractive entrance into the settlement through appropriate design, layout and landscaping.  </w:t>
      </w:r>
      <w:r w:rsidR="00E713E7">
        <w:rPr>
          <w:b w:val="0"/>
        </w:rPr>
        <w:t xml:space="preserve">The site is supported by the Parish Council.  </w:t>
      </w:r>
    </w:p>
    <w:p w:rsidR="003F6E01" w:rsidRDefault="00DB5273" w:rsidP="00B249BF">
      <w:pPr>
        <w:pStyle w:val="DPDIntro"/>
        <w:widowControl w:val="0"/>
        <w:numPr>
          <w:ilvl w:val="0"/>
          <w:numId w:val="13"/>
        </w:numPr>
        <w:rPr>
          <w:b w:val="0"/>
        </w:rPr>
      </w:pPr>
      <w:r w:rsidRPr="003F6E01">
        <w:rPr>
          <w:b w:val="0"/>
        </w:rPr>
        <w:t xml:space="preserve">A number of respondents argue that the unlisted buildings should be retained in any development.  However, they </w:t>
      </w:r>
      <w:r w:rsidR="001C7BDE" w:rsidRPr="003F6E01">
        <w:rPr>
          <w:b w:val="0"/>
        </w:rPr>
        <w:t>appear to be in a poor state of repair and add little to the quality of the townscape</w:t>
      </w:r>
      <w:r w:rsidRPr="003F6E01">
        <w:rPr>
          <w:b w:val="0"/>
        </w:rPr>
        <w:t xml:space="preserve"> and t</w:t>
      </w:r>
      <w:r w:rsidR="001C7BDE" w:rsidRPr="003F6E01">
        <w:rPr>
          <w:b w:val="0"/>
        </w:rPr>
        <w:t>he Council states that they have been derelict for many years</w:t>
      </w:r>
      <w:r w:rsidRPr="003F6E01">
        <w:rPr>
          <w:b w:val="0"/>
        </w:rPr>
        <w:t>.  No evidence was submitted regarding whether or not the restoration of these buildings would be viable.  In any event policy G22.1 does not specifically require their demolition and the submission of a Heritage Asset Statement would be required together with measures to demonstrate that the development would preserve and enhance this part of the village.</w:t>
      </w:r>
      <w:r w:rsidR="003F6E01" w:rsidRPr="003F6E01">
        <w:rPr>
          <w:b w:val="0"/>
        </w:rPr>
        <w:t xml:space="preserve">  </w:t>
      </w:r>
      <w:r w:rsidRPr="003F6E01">
        <w:rPr>
          <w:b w:val="0"/>
        </w:rPr>
        <w:t>In terms of the nearby Grade II listed building there is no reason to conclude that</w:t>
      </w:r>
      <w:r w:rsidR="003F6E01" w:rsidRPr="003F6E01">
        <w:rPr>
          <w:b w:val="0"/>
        </w:rPr>
        <w:t xml:space="preserve"> development on the other side of the road would have any </w:t>
      </w:r>
      <w:r w:rsidR="00BA609D">
        <w:rPr>
          <w:b w:val="0"/>
        </w:rPr>
        <w:t>significant</w:t>
      </w:r>
      <w:r w:rsidR="00BA609D" w:rsidRPr="003F6E01">
        <w:rPr>
          <w:b w:val="0"/>
        </w:rPr>
        <w:t xml:space="preserve"> </w:t>
      </w:r>
      <w:r w:rsidR="003F6E01" w:rsidRPr="003F6E01">
        <w:rPr>
          <w:b w:val="0"/>
        </w:rPr>
        <w:t>negative</w:t>
      </w:r>
      <w:r w:rsidR="003F6E01">
        <w:rPr>
          <w:b w:val="0"/>
        </w:rPr>
        <w:t xml:space="preserve"> </w:t>
      </w:r>
      <w:r w:rsidR="003F6E01" w:rsidRPr="003F6E01">
        <w:rPr>
          <w:b w:val="0"/>
        </w:rPr>
        <w:t>impact on the building or its setting.</w:t>
      </w:r>
    </w:p>
    <w:p w:rsidR="00D51092" w:rsidRDefault="003F6E01" w:rsidP="00B249BF">
      <w:pPr>
        <w:pStyle w:val="DPDIntro"/>
        <w:widowControl w:val="0"/>
        <w:numPr>
          <w:ilvl w:val="0"/>
          <w:numId w:val="13"/>
        </w:numPr>
        <w:rPr>
          <w:b w:val="0"/>
        </w:rPr>
      </w:pPr>
      <w:r>
        <w:rPr>
          <w:b w:val="0"/>
        </w:rPr>
        <w:t>Concerns were expressed about the impact of development on the landscape but there is existing development to the south and east and the relatively small size of the site would not cause a significant intrusion into the countryside.  In any event the policy requires the provision of a significant landscaping belt along the northern and western boundaries</w:t>
      </w:r>
      <w:r w:rsidR="00D51092">
        <w:rPr>
          <w:b w:val="0"/>
        </w:rPr>
        <w:t xml:space="preserve"> which will soften the impact of the development in the wider landscape.</w:t>
      </w:r>
    </w:p>
    <w:p w:rsidR="003A0F7E" w:rsidRPr="003F6E01" w:rsidRDefault="00E713E7" w:rsidP="00B249BF">
      <w:pPr>
        <w:pStyle w:val="DPDIntro"/>
        <w:widowControl w:val="0"/>
        <w:numPr>
          <w:ilvl w:val="0"/>
          <w:numId w:val="13"/>
        </w:numPr>
        <w:rPr>
          <w:b w:val="0"/>
        </w:rPr>
      </w:pPr>
      <w:r>
        <w:rPr>
          <w:b w:val="0"/>
        </w:rPr>
        <w:t xml:space="preserve">It was argued by representors that the allocation of an alternative site adjacent to the school (site 1193) would represent the most appropriate </w:t>
      </w:r>
      <w:r>
        <w:rPr>
          <w:b w:val="0"/>
        </w:rPr>
        <w:lastRenderedPageBreak/>
        <w:t xml:space="preserve">strategy for the village but </w:t>
      </w:r>
      <w:r w:rsidR="00DF24C2">
        <w:rPr>
          <w:b w:val="0"/>
        </w:rPr>
        <w:t>the land</w:t>
      </w:r>
      <w:r>
        <w:rPr>
          <w:b w:val="0"/>
        </w:rPr>
        <w:t xml:space="preserve"> would </w:t>
      </w:r>
      <w:r w:rsidR="00092301">
        <w:rPr>
          <w:b w:val="0"/>
        </w:rPr>
        <w:t>only accommodate 8 dwellings</w:t>
      </w:r>
      <w:r w:rsidR="00DF24C2">
        <w:rPr>
          <w:b w:val="0"/>
        </w:rPr>
        <w:t xml:space="preserve"> (for access reasons) and its development would not contribute significantly to improving the setting of the village.</w:t>
      </w:r>
      <w:r>
        <w:rPr>
          <w:b w:val="0"/>
        </w:rPr>
        <w:t xml:space="preserve">  </w:t>
      </w:r>
      <w:r w:rsidR="00D51092">
        <w:rPr>
          <w:b w:val="0"/>
        </w:rPr>
        <w:t>The Council’s allocation at Castle Acre is sound.</w:t>
      </w:r>
      <w:r w:rsidR="003F6E01" w:rsidRPr="003F6E01">
        <w:rPr>
          <w:b w:val="0"/>
        </w:rPr>
        <w:t xml:space="preserve"> </w:t>
      </w:r>
      <w:r w:rsidR="00DB5273" w:rsidRPr="003F6E01">
        <w:rPr>
          <w:b w:val="0"/>
        </w:rPr>
        <w:t xml:space="preserve"> </w:t>
      </w:r>
      <w:r w:rsidR="007F69DD" w:rsidRPr="003F6E01">
        <w:rPr>
          <w:b w:val="0"/>
        </w:rPr>
        <w:t xml:space="preserve">   </w:t>
      </w:r>
    </w:p>
    <w:p w:rsidR="003A0F7E" w:rsidRPr="00AD65C6" w:rsidRDefault="00AD65C6" w:rsidP="00AD65C6">
      <w:pPr>
        <w:pStyle w:val="DPDIntro"/>
        <w:widowControl w:val="0"/>
        <w:rPr>
          <w:i/>
        </w:rPr>
      </w:pPr>
      <w:proofErr w:type="spellStart"/>
      <w:r>
        <w:rPr>
          <w:i/>
        </w:rPr>
        <w:t>Clenchwarton</w:t>
      </w:r>
      <w:proofErr w:type="spellEnd"/>
    </w:p>
    <w:p w:rsidR="00477988" w:rsidRDefault="003A0F7E" w:rsidP="00B249BF">
      <w:pPr>
        <w:pStyle w:val="DPDIntro"/>
        <w:widowControl w:val="0"/>
        <w:numPr>
          <w:ilvl w:val="0"/>
          <w:numId w:val="13"/>
        </w:numPr>
        <w:rPr>
          <w:b w:val="0"/>
        </w:rPr>
      </w:pPr>
      <w:r>
        <w:rPr>
          <w:b w:val="0"/>
        </w:rPr>
        <w:t>T</w:t>
      </w:r>
      <w:r w:rsidR="006E452C">
        <w:rPr>
          <w:b w:val="0"/>
        </w:rPr>
        <w:t xml:space="preserve">hree sites are allocated for housing in the village.  Of particular concern to some residents is the issue of flood risk and drainage and I note that in the </w:t>
      </w:r>
      <w:r w:rsidR="006E452C">
        <w:rPr>
          <w:b w:val="0"/>
        </w:rPr>
        <w:br/>
        <w:t>SA all the sites that were appraised in the settlement scored ‘very negative’</w:t>
      </w:r>
      <w:r w:rsidR="00477988">
        <w:rPr>
          <w:b w:val="0"/>
        </w:rPr>
        <w:t xml:space="preserve"> in this regard</w:t>
      </w:r>
      <w:r w:rsidR="006E452C">
        <w:rPr>
          <w:b w:val="0"/>
        </w:rPr>
        <w:t>.</w:t>
      </w:r>
      <w:r w:rsidR="00477988">
        <w:rPr>
          <w:b w:val="0"/>
        </w:rPr>
        <w:t xml:space="preserve">  The Council confirmed that </w:t>
      </w:r>
      <w:proofErr w:type="spellStart"/>
      <w:r w:rsidR="00477988">
        <w:rPr>
          <w:b w:val="0"/>
        </w:rPr>
        <w:t>Clenchwarton</w:t>
      </w:r>
      <w:proofErr w:type="spellEnd"/>
      <w:r w:rsidR="00477988">
        <w:rPr>
          <w:b w:val="0"/>
        </w:rPr>
        <w:t xml:space="preserve"> falls within the highest flood risk area</w:t>
      </w:r>
      <w:r w:rsidR="00F205B2">
        <w:rPr>
          <w:b w:val="0"/>
        </w:rPr>
        <w:t xml:space="preserve"> – there are no potential sites in lower flood risk areas</w:t>
      </w:r>
      <w:r w:rsidR="00477988">
        <w:rPr>
          <w:b w:val="0"/>
        </w:rPr>
        <w:t>.</w:t>
      </w:r>
    </w:p>
    <w:p w:rsidR="003A0F7E" w:rsidRDefault="00477988" w:rsidP="00B249BF">
      <w:pPr>
        <w:pStyle w:val="DPDIntro"/>
        <w:widowControl w:val="0"/>
        <w:numPr>
          <w:ilvl w:val="0"/>
          <w:numId w:val="13"/>
        </w:numPr>
        <w:rPr>
          <w:b w:val="0"/>
        </w:rPr>
      </w:pPr>
      <w:r>
        <w:rPr>
          <w:b w:val="0"/>
        </w:rPr>
        <w:t>I have placed great weight on matters of flood risk</w:t>
      </w:r>
      <w:r w:rsidR="00BA609D">
        <w:rPr>
          <w:b w:val="0"/>
        </w:rPr>
        <w:t xml:space="preserve"> </w:t>
      </w:r>
      <w:r>
        <w:rPr>
          <w:b w:val="0"/>
        </w:rPr>
        <w:t xml:space="preserve">but the settlement is defined as a Key Rural Service Centre in the </w:t>
      </w:r>
      <w:r w:rsidR="004E3148">
        <w:rPr>
          <w:b w:val="0"/>
        </w:rPr>
        <w:t>CS</w:t>
      </w:r>
      <w:r>
        <w:rPr>
          <w:b w:val="0"/>
        </w:rPr>
        <w:t xml:space="preserve"> and I saw that it enjoys a relatively wide range of services and facilities.  The NPPF states that ‘when new development is brought forward in areas which </w:t>
      </w:r>
      <w:proofErr w:type="gramStart"/>
      <w:r>
        <w:rPr>
          <w:b w:val="0"/>
        </w:rPr>
        <w:t>are vulnerable, care</w:t>
      </w:r>
      <w:proofErr w:type="gramEnd"/>
      <w:r>
        <w:rPr>
          <w:b w:val="0"/>
        </w:rPr>
        <w:t xml:space="preserve"> should be taken to ensure that risks can be managed through suitable adaptation measures’.</w:t>
      </w:r>
      <w:r w:rsidR="006E452C">
        <w:rPr>
          <w:b w:val="0"/>
        </w:rPr>
        <w:t xml:space="preserve"> </w:t>
      </w:r>
      <w:r w:rsidR="00F205B2">
        <w:rPr>
          <w:b w:val="0"/>
        </w:rPr>
        <w:t xml:space="preserve"> The policies for all three allocations require the submission of flood risk assessments and details showing how sustainable drainage measures would be incorporated into the development.</w:t>
      </w:r>
      <w:r w:rsidR="00685672">
        <w:rPr>
          <w:b w:val="0"/>
        </w:rPr>
        <w:t xml:space="preserve">  No evidence was submitted that would lead me to conclude that that issues of flood risk and drainage could not be satisfactorily addressed but if such evidence should emerge the requirements of the policies would ensure that inappropriate development would not </w:t>
      </w:r>
      <w:r w:rsidR="000F3492">
        <w:rPr>
          <w:b w:val="0"/>
        </w:rPr>
        <w:t xml:space="preserve">be </w:t>
      </w:r>
      <w:r w:rsidR="00685672">
        <w:rPr>
          <w:b w:val="0"/>
        </w:rPr>
        <w:t xml:space="preserve">permitted.  Similarly there is no conclusive evidence to show that any issues of sewage disposal cannot be overcome. </w:t>
      </w:r>
    </w:p>
    <w:p w:rsidR="00F25E44" w:rsidRDefault="007049E8" w:rsidP="00B249BF">
      <w:pPr>
        <w:pStyle w:val="DPDIntro"/>
        <w:widowControl w:val="0"/>
        <w:numPr>
          <w:ilvl w:val="0"/>
          <w:numId w:val="13"/>
        </w:numPr>
        <w:rPr>
          <w:b w:val="0"/>
        </w:rPr>
      </w:pPr>
      <w:r>
        <w:rPr>
          <w:b w:val="0"/>
        </w:rPr>
        <w:t xml:space="preserve">With regard to site G25.1 (between </w:t>
      </w:r>
      <w:proofErr w:type="spellStart"/>
      <w:r>
        <w:rPr>
          <w:b w:val="0"/>
        </w:rPr>
        <w:t>Wildfields</w:t>
      </w:r>
      <w:proofErr w:type="spellEnd"/>
      <w:r>
        <w:rPr>
          <w:b w:val="0"/>
        </w:rPr>
        <w:t xml:space="preserve"> Road and Hall Road) although it is on the edge of the settlement, it is possible to comfortably walk to a number of facilities.  In terms of appearance, there is development to the south of the site and on the opposite side of the road to the east, and with </w:t>
      </w:r>
      <w:r w:rsidR="00F25E44">
        <w:rPr>
          <w:b w:val="0"/>
        </w:rPr>
        <w:t xml:space="preserve">an </w:t>
      </w:r>
      <w:r>
        <w:rPr>
          <w:b w:val="0"/>
        </w:rPr>
        <w:t xml:space="preserve">appropriate layout and design, there is no reason why housing on this site would appear unduly incongruous.  It is acknowledged that there would be a loss of some agricultural land but this is not </w:t>
      </w:r>
      <w:r w:rsidR="00F25E44">
        <w:rPr>
          <w:b w:val="0"/>
        </w:rPr>
        <w:t xml:space="preserve">a factor </w:t>
      </w:r>
      <w:r>
        <w:rPr>
          <w:b w:val="0"/>
        </w:rPr>
        <w:t>unique to this site</w:t>
      </w:r>
      <w:r w:rsidR="00F25E44">
        <w:rPr>
          <w:b w:val="0"/>
        </w:rPr>
        <w:t xml:space="preserve"> and bearing in mind the relatively small size of the allocation I am satisfied that the Council has placed sufficient weight on this matter in its deliberations.</w:t>
      </w:r>
    </w:p>
    <w:p w:rsidR="00502CE2" w:rsidRDefault="00F25E44" w:rsidP="00B249BF">
      <w:pPr>
        <w:pStyle w:val="DPDIntro"/>
        <w:widowControl w:val="0"/>
        <w:numPr>
          <w:ilvl w:val="0"/>
          <w:numId w:val="13"/>
        </w:numPr>
        <w:rPr>
          <w:b w:val="0"/>
        </w:rPr>
      </w:pPr>
      <w:r>
        <w:rPr>
          <w:b w:val="0"/>
        </w:rPr>
        <w:t xml:space="preserve">The land to the north of Main Road (policy G25.2) is allocated for </w:t>
      </w:r>
      <w:r w:rsidR="00CA50F7">
        <w:rPr>
          <w:b w:val="0"/>
        </w:rPr>
        <w:t xml:space="preserve">at least </w:t>
      </w:r>
      <w:r>
        <w:rPr>
          <w:b w:val="0"/>
        </w:rPr>
        <w:t>20 dwellings.  The site is relatively well located</w:t>
      </w:r>
      <w:r w:rsidR="00502CE2">
        <w:rPr>
          <w:b w:val="0"/>
        </w:rPr>
        <w:t xml:space="preserve"> in relation to services and facilities and although a relatively high density is proposed much of the development would be sited behind existing dwellings, thus reducing its visual impact.  CS policy CS08 requires high quality design that will enhance the environment, whilst also making the best use of land and there is no reason to conclude that the development of this allocation will not meet those requirements.</w:t>
      </w:r>
    </w:p>
    <w:p w:rsidR="002A56E3" w:rsidRDefault="00502CE2" w:rsidP="00B249BF">
      <w:pPr>
        <w:pStyle w:val="DPDIntro"/>
        <w:widowControl w:val="0"/>
        <w:numPr>
          <w:ilvl w:val="0"/>
          <w:numId w:val="13"/>
        </w:numPr>
        <w:rPr>
          <w:b w:val="0"/>
        </w:rPr>
      </w:pPr>
      <w:r>
        <w:rPr>
          <w:b w:val="0"/>
        </w:rPr>
        <w:t>The allocation to the south of Main Road (policy G25.3), which is linear in form, sits comfortably with</w:t>
      </w:r>
      <w:r w:rsidR="002A56E3">
        <w:rPr>
          <w:b w:val="0"/>
        </w:rPr>
        <w:t xml:space="preserve"> the nearby layout of development.  It is within walking distance of services and although it would result in the loss of some agricultural land this is </w:t>
      </w:r>
      <w:r w:rsidR="00E97C4E">
        <w:rPr>
          <w:b w:val="0"/>
        </w:rPr>
        <w:t>not a unique</w:t>
      </w:r>
      <w:r w:rsidR="002A56E3">
        <w:rPr>
          <w:b w:val="0"/>
        </w:rPr>
        <w:t xml:space="preserve"> situation and in any event the amount that would be lost would be minimal and there is no evidence that it would put at risk the agricultural use of the remaining large fields.  There were no objections to the allocation from the Highway Authority in terms of highway safety.</w:t>
      </w:r>
      <w:r w:rsidR="00880150">
        <w:rPr>
          <w:b w:val="0"/>
        </w:rPr>
        <w:t xml:space="preserve">  </w:t>
      </w:r>
      <w:r w:rsidR="000B6DE1">
        <w:rPr>
          <w:b w:val="0"/>
        </w:rPr>
        <w:t xml:space="preserve">The boundary of site G25.1 as shown in the submitted plan is not </w:t>
      </w:r>
      <w:r w:rsidR="000B6DE1">
        <w:rPr>
          <w:b w:val="0"/>
        </w:rPr>
        <w:lastRenderedPageBreak/>
        <w:t>accurate it therefore recommended that the correct site boundary is identified on the Inset map (</w:t>
      </w:r>
      <w:r w:rsidR="00880150">
        <w:t>MM36</w:t>
      </w:r>
      <w:r w:rsidR="000B6DE1">
        <w:rPr>
          <w:b w:val="0"/>
        </w:rPr>
        <w:t>)</w:t>
      </w:r>
      <w:r w:rsidR="00FD6C8E">
        <w:rPr>
          <w:b w:val="0"/>
        </w:rPr>
        <w:t>, thus ensuring that policy G25.1 will be effective</w:t>
      </w:r>
      <w:r w:rsidR="000B6DE1">
        <w:rPr>
          <w:b w:val="0"/>
        </w:rPr>
        <w:t>.</w:t>
      </w:r>
    </w:p>
    <w:p w:rsidR="00685672" w:rsidRDefault="002A56E3" w:rsidP="00B249BF">
      <w:pPr>
        <w:pStyle w:val="DPDIntro"/>
        <w:widowControl w:val="0"/>
        <w:numPr>
          <w:ilvl w:val="0"/>
          <w:numId w:val="13"/>
        </w:numPr>
        <w:rPr>
          <w:b w:val="0"/>
        </w:rPr>
      </w:pPr>
      <w:r>
        <w:rPr>
          <w:b w:val="0"/>
        </w:rPr>
        <w:t xml:space="preserve">Subject to the issue of flood risk being satisfactorily addressed, the evidence satisfactorily demonstrates that the allocations at </w:t>
      </w:r>
      <w:proofErr w:type="spellStart"/>
      <w:r>
        <w:rPr>
          <w:b w:val="0"/>
        </w:rPr>
        <w:t>Clenchwarton</w:t>
      </w:r>
      <w:proofErr w:type="spellEnd"/>
      <w:r>
        <w:rPr>
          <w:b w:val="0"/>
        </w:rPr>
        <w:t xml:space="preserve"> are justified.</w:t>
      </w:r>
      <w:r w:rsidR="00860A4D">
        <w:rPr>
          <w:b w:val="0"/>
        </w:rPr>
        <w:t xml:space="preserve">  In any event I understand that planning permission has been granted on all three allocated sites.</w:t>
      </w:r>
      <w:r>
        <w:rPr>
          <w:b w:val="0"/>
        </w:rPr>
        <w:t xml:space="preserve"> </w:t>
      </w:r>
      <w:r w:rsidR="00502CE2">
        <w:rPr>
          <w:b w:val="0"/>
        </w:rPr>
        <w:t xml:space="preserve"> </w:t>
      </w:r>
      <w:r w:rsidR="007049E8">
        <w:rPr>
          <w:b w:val="0"/>
        </w:rPr>
        <w:t xml:space="preserve"> </w:t>
      </w:r>
    </w:p>
    <w:p w:rsidR="003A0F7E" w:rsidRPr="00AD65C6" w:rsidRDefault="00AD65C6" w:rsidP="00AD65C6">
      <w:pPr>
        <w:pStyle w:val="DPDIntro"/>
        <w:widowControl w:val="0"/>
        <w:rPr>
          <w:i/>
        </w:rPr>
      </w:pPr>
      <w:r w:rsidRPr="00AD65C6">
        <w:rPr>
          <w:i/>
        </w:rPr>
        <w:t>Denver</w:t>
      </w:r>
    </w:p>
    <w:p w:rsidR="0041230A" w:rsidRDefault="00756538" w:rsidP="00B249BF">
      <w:pPr>
        <w:pStyle w:val="DPDIntro"/>
        <w:widowControl w:val="0"/>
        <w:numPr>
          <w:ilvl w:val="0"/>
          <w:numId w:val="13"/>
        </w:numPr>
        <w:rPr>
          <w:b w:val="0"/>
        </w:rPr>
      </w:pPr>
      <w:r>
        <w:rPr>
          <w:b w:val="0"/>
        </w:rPr>
        <w:t xml:space="preserve">Denver is identified as a rural village and it lies only one mile south of </w:t>
      </w:r>
      <w:proofErr w:type="spellStart"/>
      <w:r>
        <w:rPr>
          <w:b w:val="0"/>
        </w:rPr>
        <w:t>Downham</w:t>
      </w:r>
      <w:proofErr w:type="spellEnd"/>
      <w:r>
        <w:rPr>
          <w:b w:val="0"/>
        </w:rPr>
        <w:t xml:space="preserve"> Market which enjoys a range of facilities and services.  In other circumstances the Council suggest</w:t>
      </w:r>
      <w:r w:rsidR="0041230A">
        <w:rPr>
          <w:b w:val="0"/>
        </w:rPr>
        <w:t>s</w:t>
      </w:r>
      <w:r>
        <w:rPr>
          <w:b w:val="0"/>
        </w:rPr>
        <w:t xml:space="preserve"> that the village should have an allocation of 8 dwellings but because of constraints relating to common land, wildlife habitats and access</w:t>
      </w:r>
      <w:r w:rsidR="0041230A">
        <w:rPr>
          <w:b w:val="0"/>
        </w:rPr>
        <w:t xml:space="preserve"> it </w:t>
      </w:r>
      <w:r w:rsidR="000B6DE1">
        <w:rPr>
          <w:b w:val="0"/>
        </w:rPr>
        <w:t>was</w:t>
      </w:r>
      <w:r w:rsidR="0041230A">
        <w:rPr>
          <w:b w:val="0"/>
        </w:rPr>
        <w:t xml:space="preserve"> not proposed to make any allocations in the settlement.</w:t>
      </w:r>
    </w:p>
    <w:p w:rsidR="00DE2512" w:rsidRDefault="0041230A" w:rsidP="00B249BF">
      <w:pPr>
        <w:pStyle w:val="DPDIntro"/>
        <w:widowControl w:val="0"/>
        <w:numPr>
          <w:ilvl w:val="0"/>
          <w:numId w:val="13"/>
        </w:numPr>
        <w:rPr>
          <w:b w:val="0"/>
        </w:rPr>
      </w:pPr>
      <w:r>
        <w:rPr>
          <w:b w:val="0"/>
        </w:rPr>
        <w:t>At the preferred options stage in 2013 a site was allocated (Site DEN1) but it was discounted by the Council because access to it is across common land, there is a pond where great crested newts may be present and there is a Grade II listed building nearby.  However, following the hearing</w:t>
      </w:r>
      <w:r w:rsidR="000B6DE1">
        <w:rPr>
          <w:b w:val="0"/>
        </w:rPr>
        <w:t>,</w:t>
      </w:r>
      <w:r>
        <w:rPr>
          <w:b w:val="0"/>
        </w:rPr>
        <w:t xml:space="preserve"> evidence was submitted at my request</w:t>
      </w:r>
      <w:r>
        <w:rPr>
          <w:rStyle w:val="FootnoteReference"/>
          <w:b w:val="0"/>
        </w:rPr>
        <w:footnoteReference w:id="10"/>
      </w:r>
      <w:r>
        <w:rPr>
          <w:b w:val="0"/>
        </w:rPr>
        <w:t xml:space="preserve"> which confirms that there is a right of access across the common land; that measures would be put in place to protect the newts; and that there would be no significant harm to the setting of the listed building.</w:t>
      </w:r>
    </w:p>
    <w:p w:rsidR="00880150" w:rsidRPr="000B6DE1" w:rsidRDefault="000B6DE1" w:rsidP="00B249BF">
      <w:pPr>
        <w:pStyle w:val="DPDIntro"/>
        <w:widowControl w:val="0"/>
        <w:numPr>
          <w:ilvl w:val="0"/>
          <w:numId w:val="13"/>
        </w:numPr>
        <w:rPr>
          <w:b w:val="0"/>
        </w:rPr>
      </w:pPr>
      <w:r w:rsidRPr="000B6DE1">
        <w:rPr>
          <w:b w:val="0"/>
        </w:rPr>
        <w:t>As a consequence of this</w:t>
      </w:r>
      <w:r>
        <w:rPr>
          <w:b w:val="0"/>
        </w:rPr>
        <w:t xml:space="preserve"> further evidence the Council has decided to allocate a site to the south of Sluice Road for</w:t>
      </w:r>
      <w:r w:rsidR="00CA50F7">
        <w:rPr>
          <w:b w:val="0"/>
        </w:rPr>
        <w:t xml:space="preserve"> at least</w:t>
      </w:r>
      <w:r>
        <w:rPr>
          <w:b w:val="0"/>
        </w:rPr>
        <w:t xml:space="preserve"> 8 dwellings.  I agree that such an allocation is justified and represents an appropriate strategy for the settlement.  The policy includes a number of requirements but there is no evidence that would suggest that they cannot all be successfully provided.  </w:t>
      </w:r>
      <w:r w:rsidR="00880150" w:rsidRPr="000B6DE1">
        <w:t>MM37</w:t>
      </w:r>
      <w:r>
        <w:t xml:space="preserve"> </w:t>
      </w:r>
      <w:r>
        <w:rPr>
          <w:b w:val="0"/>
        </w:rPr>
        <w:t>is therefore recommended.</w:t>
      </w:r>
    </w:p>
    <w:p w:rsidR="00DE2512" w:rsidRPr="00DE2512" w:rsidRDefault="00DE2512" w:rsidP="00DE2512">
      <w:pPr>
        <w:pStyle w:val="DPDIntro"/>
        <w:widowControl w:val="0"/>
        <w:rPr>
          <w:i/>
        </w:rPr>
      </w:pPr>
      <w:proofErr w:type="spellStart"/>
      <w:r w:rsidRPr="00DE2512">
        <w:rPr>
          <w:i/>
        </w:rPr>
        <w:t>Dersingham</w:t>
      </w:r>
      <w:proofErr w:type="spellEnd"/>
    </w:p>
    <w:p w:rsidR="0075541D" w:rsidRDefault="00DE2512" w:rsidP="00B249BF">
      <w:pPr>
        <w:pStyle w:val="DPDIntro"/>
        <w:widowControl w:val="0"/>
        <w:numPr>
          <w:ilvl w:val="0"/>
          <w:numId w:val="13"/>
        </w:numPr>
        <w:rPr>
          <w:b w:val="0"/>
        </w:rPr>
      </w:pPr>
      <w:proofErr w:type="spellStart"/>
      <w:r>
        <w:rPr>
          <w:b w:val="0"/>
        </w:rPr>
        <w:t>Dersingham</w:t>
      </w:r>
      <w:proofErr w:type="spellEnd"/>
      <w:r>
        <w:rPr>
          <w:b w:val="0"/>
        </w:rPr>
        <w:t xml:space="preserve"> enjoys a wide range of facilities and services and two sites for housing are allocated.</w:t>
      </w:r>
      <w:r w:rsidR="0075541D">
        <w:rPr>
          <w:b w:val="0"/>
        </w:rPr>
        <w:t xml:space="preserve"> </w:t>
      </w:r>
      <w:r w:rsidR="00DA3238">
        <w:rPr>
          <w:b w:val="0"/>
        </w:rPr>
        <w:t xml:space="preserve"> </w:t>
      </w:r>
      <w:r w:rsidR="0075541D">
        <w:rPr>
          <w:b w:val="0"/>
        </w:rPr>
        <w:t xml:space="preserve">Objections to the site to the north of </w:t>
      </w:r>
      <w:proofErr w:type="spellStart"/>
      <w:r w:rsidR="0075541D">
        <w:rPr>
          <w:b w:val="0"/>
        </w:rPr>
        <w:t>Doddshill</w:t>
      </w:r>
      <w:proofErr w:type="spellEnd"/>
      <w:r w:rsidR="0075541D">
        <w:rPr>
          <w:b w:val="0"/>
        </w:rPr>
        <w:t xml:space="preserve"> Road (policy G29.1) were received from local residents and the Parish Council.  The main concerns were ones of highway safety and </w:t>
      </w:r>
      <w:r w:rsidR="00DA3238">
        <w:rPr>
          <w:b w:val="0"/>
        </w:rPr>
        <w:t xml:space="preserve">visual intrusion.  The County Highway Authority has not objected to the allocation and in any event it is a requirement of the policy to provide safe access, including footpath extensions, junction improvements and road widening.  The concerns of residents in this regard should therefore be addressed.  In terms of visual intrusion CS policy </w:t>
      </w:r>
      <w:r w:rsidR="004A0F7A">
        <w:rPr>
          <w:b w:val="0"/>
        </w:rPr>
        <w:t xml:space="preserve">CS08 </w:t>
      </w:r>
      <w:r w:rsidR="00DA3238">
        <w:rPr>
          <w:b w:val="0"/>
        </w:rPr>
        <w:t>requires development to enhance the quality of the environment and this is reflected in policy DM15 of the SADMPP.  The policy itself requ</w:t>
      </w:r>
      <w:r w:rsidR="004A0F7A">
        <w:rPr>
          <w:b w:val="0"/>
        </w:rPr>
        <w:t>ires a Heritage Asset Statement, a high quality of design (to avoid harm to the setting of the Conservation Area), and the provision of high quality landscaping.  I am satisfied that the risk of harmful visual intrusion can be minimised.</w:t>
      </w:r>
      <w:r w:rsidR="0075541D">
        <w:rPr>
          <w:b w:val="0"/>
        </w:rPr>
        <w:t xml:space="preserve"> </w:t>
      </w:r>
      <w:r>
        <w:rPr>
          <w:b w:val="0"/>
        </w:rPr>
        <w:t xml:space="preserve">  </w:t>
      </w:r>
    </w:p>
    <w:p w:rsidR="00266367" w:rsidRDefault="00DE2512" w:rsidP="00B249BF">
      <w:pPr>
        <w:pStyle w:val="DPDIntro"/>
        <w:widowControl w:val="0"/>
        <w:numPr>
          <w:ilvl w:val="0"/>
          <w:numId w:val="13"/>
        </w:numPr>
        <w:rPr>
          <w:b w:val="0"/>
        </w:rPr>
      </w:pPr>
      <w:r>
        <w:rPr>
          <w:b w:val="0"/>
        </w:rPr>
        <w:t>With regard to land at Manor Road</w:t>
      </w:r>
      <w:r w:rsidR="0075541D">
        <w:rPr>
          <w:b w:val="0"/>
        </w:rPr>
        <w:t xml:space="preserve"> (policy G29.2)</w:t>
      </w:r>
      <w:r w:rsidR="00EF54C5">
        <w:rPr>
          <w:b w:val="0"/>
        </w:rPr>
        <w:t xml:space="preserve"> the site boundary is not </w:t>
      </w:r>
      <w:r w:rsidR="00EF54C5">
        <w:rPr>
          <w:b w:val="0"/>
        </w:rPr>
        <w:lastRenderedPageBreak/>
        <w:t>correctly delineated in submitted Inset Map G29.  It is therefore recommended that the correct boundary is identified on the plan (</w:t>
      </w:r>
      <w:r w:rsidR="00EF54C5">
        <w:t>MM38</w:t>
      </w:r>
      <w:r w:rsidR="00EF54C5">
        <w:rPr>
          <w:b w:val="0"/>
        </w:rPr>
        <w:t>)</w:t>
      </w:r>
      <w:r w:rsidR="00EA7790">
        <w:rPr>
          <w:b w:val="0"/>
        </w:rPr>
        <w:t xml:space="preserve"> in order that the policy will be effective</w:t>
      </w:r>
      <w:r w:rsidR="00EF54C5">
        <w:rPr>
          <w:b w:val="0"/>
        </w:rPr>
        <w:t>.  C</w:t>
      </w:r>
      <w:r>
        <w:rPr>
          <w:b w:val="0"/>
        </w:rPr>
        <w:t>oncerns</w:t>
      </w:r>
      <w:r w:rsidR="00EF54C5">
        <w:rPr>
          <w:b w:val="0"/>
        </w:rPr>
        <w:t xml:space="preserve"> were raised regarding access to the site but a</w:t>
      </w:r>
      <w:r>
        <w:rPr>
          <w:b w:val="0"/>
        </w:rPr>
        <w:t>lternative access arrangements have now been identified and agreed by the main parties and it is therefore recommended that the policy is amended to reflect the agreed way forward</w:t>
      </w:r>
      <w:r w:rsidR="00266367">
        <w:rPr>
          <w:b w:val="0"/>
        </w:rPr>
        <w:t xml:space="preserve">.  In the interests of sustainable development it is also proposed to include a requirement for a project level Habitats Regulation Assessment to be submitted.  Both these changes are recommended in </w:t>
      </w:r>
      <w:r>
        <w:t>MM</w:t>
      </w:r>
      <w:r w:rsidR="00EF54C5">
        <w:t>39</w:t>
      </w:r>
      <w:r>
        <w:rPr>
          <w:b w:val="0"/>
        </w:rPr>
        <w:t>.</w:t>
      </w:r>
      <w:r w:rsidR="00EF54C5">
        <w:rPr>
          <w:b w:val="0"/>
        </w:rPr>
        <w:t xml:space="preserve">  </w:t>
      </w:r>
      <w:r>
        <w:rPr>
          <w:b w:val="0"/>
        </w:rPr>
        <w:t xml:space="preserve">  </w:t>
      </w:r>
    </w:p>
    <w:p w:rsidR="00880150" w:rsidRPr="00266367" w:rsidRDefault="0075541D" w:rsidP="00266367">
      <w:pPr>
        <w:pStyle w:val="DPDIntro"/>
        <w:widowControl w:val="0"/>
        <w:numPr>
          <w:ilvl w:val="0"/>
          <w:numId w:val="13"/>
        </w:numPr>
        <w:rPr>
          <w:b w:val="0"/>
        </w:rPr>
      </w:pPr>
      <w:r w:rsidRPr="00266367">
        <w:rPr>
          <w:b w:val="0"/>
        </w:rPr>
        <w:t xml:space="preserve">The site is within the </w:t>
      </w:r>
      <w:proofErr w:type="spellStart"/>
      <w:r w:rsidRPr="00266367">
        <w:rPr>
          <w:b w:val="0"/>
        </w:rPr>
        <w:t>Dersingham</w:t>
      </w:r>
      <w:proofErr w:type="spellEnd"/>
      <w:r w:rsidRPr="00266367">
        <w:rPr>
          <w:b w:val="0"/>
        </w:rPr>
        <w:t xml:space="preserve"> Conservation Area and opposite a Grade 1 Listed Church.  There is no reason to conclude that development of this site, which would be restricted to single storey dwellings, would cause harm to any heritage asset, especially as a Heritage Asset Statement would have to accompany any planning application and it is a requirement of the policy that the design of the development will need to preserve and enhance the Conservation Area.</w:t>
      </w:r>
    </w:p>
    <w:p w:rsidR="00DE2512" w:rsidRPr="00DE2512" w:rsidRDefault="00DE2512" w:rsidP="00DE2512">
      <w:pPr>
        <w:pStyle w:val="DPDIntro"/>
        <w:widowControl w:val="0"/>
        <w:rPr>
          <w:i/>
        </w:rPr>
      </w:pPr>
      <w:r w:rsidRPr="00DE2512">
        <w:rPr>
          <w:i/>
        </w:rPr>
        <w:t>Docking</w:t>
      </w:r>
    </w:p>
    <w:p w:rsidR="003A0F7E" w:rsidRPr="00D912C5" w:rsidRDefault="004A0F7A" w:rsidP="00B249BF">
      <w:pPr>
        <w:pStyle w:val="DPDIntro"/>
        <w:widowControl w:val="0"/>
        <w:numPr>
          <w:ilvl w:val="0"/>
          <w:numId w:val="13"/>
        </w:numPr>
        <w:rPr>
          <w:b w:val="0"/>
        </w:rPr>
      </w:pPr>
      <w:r w:rsidRPr="00D912C5">
        <w:rPr>
          <w:b w:val="0"/>
        </w:rPr>
        <w:t>Concerns were expressed regarding the impact of development</w:t>
      </w:r>
      <w:r w:rsidR="00BA609D">
        <w:rPr>
          <w:b w:val="0"/>
        </w:rPr>
        <w:t xml:space="preserve"> on the allocated site (policy G30.1)</w:t>
      </w:r>
      <w:r w:rsidRPr="00D912C5">
        <w:rPr>
          <w:b w:val="0"/>
        </w:rPr>
        <w:t xml:space="preserve"> on the setting of the Conservation Area and on a number of nearby listed buildings.  However, a Heritage Asset Statement will be required</w:t>
      </w:r>
      <w:r w:rsidR="00D912C5" w:rsidRPr="00D912C5">
        <w:rPr>
          <w:b w:val="0"/>
        </w:rPr>
        <w:t xml:space="preserve"> and the policy framework exists to ensure that those concerns can be </w:t>
      </w:r>
      <w:r w:rsidR="00BA609D">
        <w:rPr>
          <w:b w:val="0"/>
        </w:rPr>
        <w:t xml:space="preserve">satisfactorily </w:t>
      </w:r>
      <w:r w:rsidR="00D912C5" w:rsidRPr="00D912C5">
        <w:rPr>
          <w:b w:val="0"/>
        </w:rPr>
        <w:t xml:space="preserve">addressed.  The site is close to village services and would enable the existing pond at the centre of the site to be ecologically improved.  I am satisfied that the Council’s </w:t>
      </w:r>
      <w:r w:rsidR="00BA609D">
        <w:rPr>
          <w:b w:val="0"/>
        </w:rPr>
        <w:t>approach, as encapsulated in policy G30.1,</w:t>
      </w:r>
      <w:r w:rsidR="00D912C5" w:rsidRPr="00D912C5">
        <w:rPr>
          <w:b w:val="0"/>
        </w:rPr>
        <w:t xml:space="preserve"> is sound.</w:t>
      </w:r>
      <w:r w:rsidR="0041230A" w:rsidRPr="00D912C5">
        <w:rPr>
          <w:b w:val="0"/>
        </w:rPr>
        <w:t xml:space="preserve"> </w:t>
      </w:r>
      <w:r w:rsidR="00756538" w:rsidRPr="00D912C5">
        <w:rPr>
          <w:b w:val="0"/>
        </w:rPr>
        <w:t xml:space="preserve"> </w:t>
      </w:r>
    </w:p>
    <w:p w:rsidR="00AD65C6" w:rsidRPr="00AD65C6" w:rsidRDefault="00AD65C6" w:rsidP="00AD65C6">
      <w:pPr>
        <w:pStyle w:val="DPDIntro"/>
        <w:widowControl w:val="0"/>
        <w:rPr>
          <w:i/>
        </w:rPr>
      </w:pPr>
      <w:proofErr w:type="spellStart"/>
      <w:r>
        <w:rPr>
          <w:i/>
        </w:rPr>
        <w:t>Emneth</w:t>
      </w:r>
      <w:proofErr w:type="spellEnd"/>
    </w:p>
    <w:p w:rsidR="00AD65C6" w:rsidRPr="00266367" w:rsidRDefault="000A2FFA" w:rsidP="00B249BF">
      <w:pPr>
        <w:pStyle w:val="DPDIntro"/>
        <w:widowControl w:val="0"/>
        <w:numPr>
          <w:ilvl w:val="0"/>
          <w:numId w:val="13"/>
        </w:numPr>
        <w:rPr>
          <w:b w:val="0"/>
        </w:rPr>
      </w:pPr>
      <w:r w:rsidRPr="00266367">
        <w:rPr>
          <w:b w:val="0"/>
        </w:rPr>
        <w:t xml:space="preserve">A very large number of sites were considered at </w:t>
      </w:r>
      <w:proofErr w:type="spellStart"/>
      <w:r w:rsidRPr="00266367">
        <w:rPr>
          <w:b w:val="0"/>
        </w:rPr>
        <w:t>Emneth</w:t>
      </w:r>
      <w:proofErr w:type="spellEnd"/>
      <w:r w:rsidRPr="00266367">
        <w:rPr>
          <w:b w:val="0"/>
        </w:rPr>
        <w:t xml:space="preserve"> but the allocated site to the south of The </w:t>
      </w:r>
      <w:proofErr w:type="spellStart"/>
      <w:r w:rsidRPr="00266367">
        <w:rPr>
          <w:b w:val="0"/>
        </w:rPr>
        <w:t>Wroe</w:t>
      </w:r>
      <w:proofErr w:type="spellEnd"/>
      <w:r w:rsidRPr="00266367">
        <w:rPr>
          <w:b w:val="0"/>
        </w:rPr>
        <w:t xml:space="preserve"> (policy G34.1) scored comparatively well in the SA.  It is located close to village services and would cause little visual harm to the setting of the village.  The policy requires the provision of safe access and highway visibility and no impediments to the delivery of the site were identified.  </w:t>
      </w:r>
      <w:r w:rsidR="00266367" w:rsidRPr="00266367">
        <w:rPr>
          <w:b w:val="0"/>
        </w:rPr>
        <w:t>In order to ensure that the public footpath that crosses the site is satisfactorily accommodated within any development it is recommended that it is a requirement of the policy to secure the appropriate integration of the right of way into any scheme (</w:t>
      </w:r>
      <w:r w:rsidR="00266367">
        <w:t>MM40</w:t>
      </w:r>
      <w:r w:rsidR="00266367" w:rsidRPr="00266367">
        <w:rPr>
          <w:b w:val="0"/>
        </w:rPr>
        <w:t xml:space="preserve">). In this way </w:t>
      </w:r>
      <w:r w:rsidRPr="00266367">
        <w:rPr>
          <w:b w:val="0"/>
        </w:rPr>
        <w:t xml:space="preserve">Policy G34.1 </w:t>
      </w:r>
      <w:r w:rsidR="000367DD">
        <w:rPr>
          <w:b w:val="0"/>
        </w:rPr>
        <w:t>is</w:t>
      </w:r>
      <w:r w:rsidRPr="00266367">
        <w:rPr>
          <w:b w:val="0"/>
        </w:rPr>
        <w:t xml:space="preserve"> sound.</w:t>
      </w:r>
    </w:p>
    <w:p w:rsidR="00AD65C6" w:rsidRPr="00AD65C6" w:rsidRDefault="00AD65C6" w:rsidP="00AD65C6">
      <w:pPr>
        <w:pStyle w:val="DPDIntro"/>
        <w:widowControl w:val="0"/>
        <w:rPr>
          <w:i/>
        </w:rPr>
      </w:pPr>
      <w:proofErr w:type="spellStart"/>
      <w:r>
        <w:rPr>
          <w:i/>
        </w:rPr>
        <w:t>Feltwell</w:t>
      </w:r>
      <w:proofErr w:type="spellEnd"/>
      <w:r w:rsidR="00BB4AD6">
        <w:rPr>
          <w:i/>
        </w:rPr>
        <w:t xml:space="preserve"> and </w:t>
      </w:r>
      <w:proofErr w:type="spellStart"/>
      <w:r w:rsidR="00BB4AD6">
        <w:rPr>
          <w:i/>
        </w:rPr>
        <w:t>Hockwold</w:t>
      </w:r>
      <w:proofErr w:type="spellEnd"/>
      <w:r w:rsidR="00BB4AD6">
        <w:rPr>
          <w:i/>
        </w:rPr>
        <w:t xml:space="preserve"> cum Winton</w:t>
      </w:r>
      <w:r>
        <w:rPr>
          <w:i/>
        </w:rPr>
        <w:t xml:space="preserve"> </w:t>
      </w:r>
    </w:p>
    <w:p w:rsidR="00AD65C6" w:rsidRDefault="0040395B" w:rsidP="00B249BF">
      <w:pPr>
        <w:pStyle w:val="DPDIntro"/>
        <w:widowControl w:val="0"/>
        <w:numPr>
          <w:ilvl w:val="0"/>
          <w:numId w:val="13"/>
        </w:numPr>
        <w:rPr>
          <w:b w:val="0"/>
        </w:rPr>
      </w:pPr>
      <w:r>
        <w:rPr>
          <w:b w:val="0"/>
        </w:rPr>
        <w:t xml:space="preserve">Three housing allocations are proposed for </w:t>
      </w:r>
      <w:proofErr w:type="spellStart"/>
      <w:r>
        <w:rPr>
          <w:b w:val="0"/>
        </w:rPr>
        <w:t>Feltwell</w:t>
      </w:r>
      <w:proofErr w:type="spellEnd"/>
      <w:r>
        <w:rPr>
          <w:b w:val="0"/>
        </w:rPr>
        <w:t xml:space="preserve"> and the SA satisfactorily justifies their selection.  </w:t>
      </w:r>
      <w:r w:rsidR="00241DB3">
        <w:rPr>
          <w:b w:val="0"/>
        </w:rPr>
        <w:t>The boundary of a</w:t>
      </w:r>
      <w:r>
        <w:rPr>
          <w:b w:val="0"/>
        </w:rPr>
        <w:t>llocation G35.1</w:t>
      </w:r>
      <w:r w:rsidR="00241DB3">
        <w:rPr>
          <w:b w:val="0"/>
        </w:rPr>
        <w:t xml:space="preserve"> (land to the rear of Chocolate Cottage, 24, Oak Street) excluded land that was considered to be at risk of flooding.  However, a Flood Risk Assessment has now been prepared which has been considered by the EA</w:t>
      </w:r>
      <w:r w:rsidR="00BA609D">
        <w:rPr>
          <w:b w:val="0"/>
        </w:rPr>
        <w:t>,</w:t>
      </w:r>
      <w:r w:rsidR="00241DB3">
        <w:rPr>
          <w:b w:val="0"/>
        </w:rPr>
        <w:t xml:space="preserve"> who have concluded that there would be no objection to the extension of site allocation G35.1.  Such an extension</w:t>
      </w:r>
      <w:r w:rsidR="002C1EF3">
        <w:rPr>
          <w:b w:val="0"/>
        </w:rPr>
        <w:t xml:space="preserve"> (which is supported by an updated SA)</w:t>
      </w:r>
      <w:r w:rsidR="00241DB3">
        <w:rPr>
          <w:b w:val="0"/>
        </w:rPr>
        <w:t xml:space="preserve"> would make the best use of a site </w:t>
      </w:r>
      <w:r w:rsidR="002C1EF3">
        <w:rPr>
          <w:b w:val="0"/>
        </w:rPr>
        <w:t xml:space="preserve">which sits comfortably </w:t>
      </w:r>
      <w:r w:rsidR="00241DB3">
        <w:rPr>
          <w:b w:val="0"/>
        </w:rPr>
        <w:t xml:space="preserve">within the settlement, with the number of dwellings increasing from 15 to at least 50.  The amended policy includes a number of requirements which are justified in order to secure the </w:t>
      </w:r>
      <w:r w:rsidR="002C1EF3">
        <w:rPr>
          <w:b w:val="0"/>
        </w:rPr>
        <w:t xml:space="preserve">satisfactory </w:t>
      </w:r>
      <w:r w:rsidR="002C1EF3">
        <w:rPr>
          <w:b w:val="0"/>
        </w:rPr>
        <w:lastRenderedPageBreak/>
        <w:t>development of the site.  The Council is proposing consequential amendments</w:t>
      </w:r>
      <w:r w:rsidR="00B147C7">
        <w:rPr>
          <w:b w:val="0"/>
        </w:rPr>
        <w:t xml:space="preserve"> to the text and </w:t>
      </w:r>
      <w:r w:rsidR="002C1EF3">
        <w:rPr>
          <w:b w:val="0"/>
        </w:rPr>
        <w:t xml:space="preserve">the Inset Map for </w:t>
      </w:r>
      <w:proofErr w:type="spellStart"/>
      <w:r w:rsidR="002C1EF3">
        <w:rPr>
          <w:b w:val="0"/>
        </w:rPr>
        <w:t>Feltwell</w:t>
      </w:r>
      <w:proofErr w:type="spellEnd"/>
      <w:r w:rsidR="002C1EF3">
        <w:rPr>
          <w:b w:val="0"/>
        </w:rPr>
        <w:t xml:space="preserve"> which are justified.  </w:t>
      </w:r>
      <w:r w:rsidR="002C1EF3">
        <w:t xml:space="preserve">MM41 </w:t>
      </w:r>
      <w:r w:rsidR="002C1EF3">
        <w:rPr>
          <w:b w:val="0"/>
        </w:rPr>
        <w:t xml:space="preserve">and </w:t>
      </w:r>
      <w:r w:rsidR="002C1EF3">
        <w:t>MM42</w:t>
      </w:r>
      <w:r w:rsidR="002C1EF3">
        <w:rPr>
          <w:b w:val="0"/>
        </w:rPr>
        <w:t xml:space="preserve"> are therefore recommended.</w:t>
      </w:r>
    </w:p>
    <w:p w:rsidR="00BA609D" w:rsidRPr="00B147C7" w:rsidRDefault="00BB4AD6" w:rsidP="00BA609D">
      <w:pPr>
        <w:pStyle w:val="DPDIntro"/>
        <w:widowControl w:val="0"/>
        <w:numPr>
          <w:ilvl w:val="0"/>
          <w:numId w:val="13"/>
        </w:numPr>
        <w:rPr>
          <w:b w:val="0"/>
        </w:rPr>
      </w:pPr>
      <w:r w:rsidRPr="00B147C7">
        <w:rPr>
          <w:b w:val="0"/>
        </w:rPr>
        <w:t xml:space="preserve">One site in </w:t>
      </w:r>
      <w:proofErr w:type="spellStart"/>
      <w:r w:rsidRPr="00B147C7">
        <w:rPr>
          <w:b w:val="0"/>
        </w:rPr>
        <w:t>Hockwold</w:t>
      </w:r>
      <w:proofErr w:type="spellEnd"/>
      <w:r w:rsidRPr="00B147C7">
        <w:rPr>
          <w:b w:val="0"/>
        </w:rPr>
        <w:t xml:space="preserve"> cum Winton is allocated for housing </w:t>
      </w:r>
      <w:r w:rsidR="002C1EF3" w:rsidRPr="00B147C7">
        <w:rPr>
          <w:b w:val="0"/>
        </w:rPr>
        <w:t>(G35.4)</w:t>
      </w:r>
      <w:r w:rsidR="0088429D" w:rsidRPr="00B147C7">
        <w:rPr>
          <w:b w:val="0"/>
        </w:rPr>
        <w:t xml:space="preserve"> and this has been satisfactorily justified by the Council.  However, in order to ensure the protection of the nearby Scheduled Ancient Monument (SAM) it is recommended that two additional criteria are added to the policy requiring the submission of a Heritage Asset Statement and the recognition of the SAM in terms of the design and appearance of the development (</w:t>
      </w:r>
      <w:r w:rsidR="0088429D">
        <w:t>MM43</w:t>
      </w:r>
      <w:r w:rsidR="0088429D" w:rsidRPr="00B147C7">
        <w:rPr>
          <w:b w:val="0"/>
        </w:rPr>
        <w:t>).</w:t>
      </w:r>
    </w:p>
    <w:p w:rsidR="00AD65C6" w:rsidRPr="00AD65C6" w:rsidRDefault="00AD65C6" w:rsidP="00AD65C6">
      <w:pPr>
        <w:pStyle w:val="DPDIntro"/>
        <w:widowControl w:val="0"/>
        <w:rPr>
          <w:i/>
        </w:rPr>
      </w:pPr>
      <w:r w:rsidRPr="00AD65C6">
        <w:rPr>
          <w:i/>
        </w:rPr>
        <w:t xml:space="preserve">Gayton, </w:t>
      </w:r>
      <w:proofErr w:type="spellStart"/>
      <w:r w:rsidRPr="00AD65C6">
        <w:rPr>
          <w:i/>
        </w:rPr>
        <w:t>Grimston</w:t>
      </w:r>
      <w:proofErr w:type="spellEnd"/>
      <w:r w:rsidRPr="00AD65C6">
        <w:rPr>
          <w:i/>
        </w:rPr>
        <w:t xml:space="preserve"> and Pott Row</w:t>
      </w:r>
    </w:p>
    <w:p w:rsidR="00AD65C6" w:rsidRDefault="008B301A" w:rsidP="00B249BF">
      <w:pPr>
        <w:pStyle w:val="DPDIntro"/>
        <w:widowControl w:val="0"/>
        <w:numPr>
          <w:ilvl w:val="0"/>
          <w:numId w:val="13"/>
        </w:numPr>
        <w:rPr>
          <w:b w:val="0"/>
        </w:rPr>
      </w:pPr>
      <w:r>
        <w:rPr>
          <w:b w:val="0"/>
        </w:rPr>
        <w:t>The allocation at Gayton (G41.1) scored relatively well in the SA, particularly as its central position</w:t>
      </w:r>
      <w:r w:rsidR="0090553C">
        <w:rPr>
          <w:b w:val="0"/>
        </w:rPr>
        <w:t xml:space="preserve"> in the village</w:t>
      </w:r>
      <w:r>
        <w:rPr>
          <w:b w:val="0"/>
        </w:rPr>
        <w:t xml:space="preserve"> provides good access to services and facilities.  Criticisms were made</w:t>
      </w:r>
      <w:r w:rsidR="0090553C">
        <w:rPr>
          <w:b w:val="0"/>
        </w:rPr>
        <w:t>, however,</w:t>
      </w:r>
      <w:r>
        <w:rPr>
          <w:b w:val="0"/>
        </w:rPr>
        <w:t xml:space="preserve"> about the comparative scores given to sites in the </w:t>
      </w:r>
      <w:r w:rsidR="0090553C">
        <w:rPr>
          <w:b w:val="0"/>
        </w:rPr>
        <w:t>settlement</w:t>
      </w:r>
      <w:r>
        <w:rPr>
          <w:b w:val="0"/>
        </w:rPr>
        <w:t xml:space="preserve"> and the Council acknowledged that there are a number of sites that would provide similar opportunities.  </w:t>
      </w:r>
      <w:r w:rsidR="0090553C">
        <w:rPr>
          <w:b w:val="0"/>
        </w:rPr>
        <w:t>It is inevitable that in situations such as this, where there is little to differentiate one site from another, that there will be an element of subjectivity.  However, having visited the village I am satisfied that the Council’s allocation is sound</w:t>
      </w:r>
      <w:r w:rsidR="00860A4D">
        <w:rPr>
          <w:b w:val="0"/>
        </w:rPr>
        <w:t xml:space="preserve"> and I understand that planning permission has been granted.</w:t>
      </w:r>
    </w:p>
    <w:p w:rsidR="0090553C" w:rsidRDefault="0090553C" w:rsidP="00B249BF">
      <w:pPr>
        <w:pStyle w:val="DPDIntro"/>
        <w:widowControl w:val="0"/>
        <w:numPr>
          <w:ilvl w:val="0"/>
          <w:numId w:val="13"/>
        </w:numPr>
        <w:rPr>
          <w:b w:val="0"/>
        </w:rPr>
      </w:pPr>
      <w:r>
        <w:rPr>
          <w:b w:val="0"/>
        </w:rPr>
        <w:t xml:space="preserve">At </w:t>
      </w:r>
      <w:proofErr w:type="spellStart"/>
      <w:r>
        <w:rPr>
          <w:b w:val="0"/>
        </w:rPr>
        <w:t>Grimston</w:t>
      </w:r>
      <w:proofErr w:type="spellEnd"/>
      <w:r w:rsidR="005F0C8C">
        <w:rPr>
          <w:b w:val="0"/>
        </w:rPr>
        <w:t xml:space="preserve"> and Pott Row</w:t>
      </w:r>
      <w:r>
        <w:rPr>
          <w:b w:val="0"/>
        </w:rPr>
        <w:t xml:space="preserve"> it was suggested by a representor that smaller sites that reflect the linear nature of the village would be more appropriate.  Whilst I understand this point of view there is no certainty that such an approach could be successfully implemented.  In any event the Council’s allocated site</w:t>
      </w:r>
      <w:r w:rsidR="00860A4D">
        <w:rPr>
          <w:b w:val="0"/>
        </w:rPr>
        <w:t xml:space="preserve"> (which now benefits from a planning permission)</w:t>
      </w:r>
      <w:r>
        <w:rPr>
          <w:b w:val="0"/>
        </w:rPr>
        <w:t xml:space="preserve"> would infill a gap (albeit relatively large) </w:t>
      </w:r>
      <w:r w:rsidR="007D07E5">
        <w:rPr>
          <w:b w:val="0"/>
        </w:rPr>
        <w:t xml:space="preserve">and </w:t>
      </w:r>
      <w:r>
        <w:rPr>
          <w:b w:val="0"/>
        </w:rPr>
        <w:t>importantly it is in a sustainable location close to village services.</w:t>
      </w:r>
      <w:r w:rsidR="00B36A57">
        <w:rPr>
          <w:b w:val="0"/>
        </w:rPr>
        <w:t xml:space="preserve">  The allocation is sound.</w:t>
      </w:r>
    </w:p>
    <w:p w:rsidR="00AD65C6" w:rsidRPr="00AD65C6" w:rsidRDefault="00AD65C6" w:rsidP="00AD65C6">
      <w:pPr>
        <w:pStyle w:val="DPDIntro"/>
        <w:widowControl w:val="0"/>
        <w:rPr>
          <w:i/>
        </w:rPr>
      </w:pPr>
      <w:r>
        <w:rPr>
          <w:i/>
        </w:rPr>
        <w:t xml:space="preserve">Great </w:t>
      </w:r>
      <w:proofErr w:type="spellStart"/>
      <w:r>
        <w:rPr>
          <w:i/>
        </w:rPr>
        <w:t>Bircham</w:t>
      </w:r>
      <w:proofErr w:type="spellEnd"/>
      <w:r>
        <w:rPr>
          <w:i/>
        </w:rPr>
        <w:t xml:space="preserve"> and </w:t>
      </w:r>
      <w:proofErr w:type="spellStart"/>
      <w:r>
        <w:rPr>
          <w:i/>
        </w:rPr>
        <w:t>Bircham</w:t>
      </w:r>
      <w:proofErr w:type="spellEnd"/>
      <w:r>
        <w:rPr>
          <w:i/>
        </w:rPr>
        <w:t xml:space="preserve"> Tofts</w:t>
      </w:r>
    </w:p>
    <w:p w:rsidR="00876660" w:rsidRPr="00BA609D" w:rsidRDefault="00AD65C6" w:rsidP="00876660">
      <w:pPr>
        <w:pStyle w:val="DPDIntro"/>
        <w:widowControl w:val="0"/>
        <w:numPr>
          <w:ilvl w:val="0"/>
          <w:numId w:val="13"/>
        </w:numPr>
        <w:rPr>
          <w:b w:val="0"/>
        </w:rPr>
      </w:pPr>
      <w:r w:rsidRPr="00BA609D">
        <w:rPr>
          <w:b w:val="0"/>
        </w:rPr>
        <w:t>T</w:t>
      </w:r>
      <w:r w:rsidR="005F0C8C" w:rsidRPr="00BA609D">
        <w:rPr>
          <w:b w:val="0"/>
        </w:rPr>
        <w:t>he Council acknowledges that none of the appraised sites have an overwhelming advantage is terms of sustainability and I agree.  The issue is therefore whether or not the allocated site is justified based on proportionate evidence.  The visual impact of the development would be comparatively low; the site is close to services; and there has been no objection from the Highway Authority.  The Parish Council has n</w:t>
      </w:r>
      <w:r w:rsidR="00530DC0" w:rsidRPr="00BA609D">
        <w:rPr>
          <w:b w:val="0"/>
        </w:rPr>
        <w:t>either supported nor objected to the allocation.  I am satisfied the allocation is sound</w:t>
      </w:r>
      <w:r w:rsidR="00A1151C" w:rsidRPr="00BA609D">
        <w:rPr>
          <w:b w:val="0"/>
        </w:rPr>
        <w:t>.</w:t>
      </w:r>
    </w:p>
    <w:p w:rsidR="00530DC0" w:rsidRPr="00530DC0" w:rsidRDefault="00530DC0" w:rsidP="00530DC0">
      <w:pPr>
        <w:pStyle w:val="DPDIntro"/>
        <w:widowControl w:val="0"/>
        <w:rPr>
          <w:i/>
        </w:rPr>
      </w:pPr>
      <w:r>
        <w:rPr>
          <w:i/>
        </w:rPr>
        <w:t xml:space="preserve">Great </w:t>
      </w:r>
      <w:proofErr w:type="spellStart"/>
      <w:r>
        <w:rPr>
          <w:i/>
        </w:rPr>
        <w:t>Massingham</w:t>
      </w:r>
      <w:proofErr w:type="spellEnd"/>
    </w:p>
    <w:p w:rsidR="00530DC0" w:rsidRDefault="001D6D8E" w:rsidP="00B249BF">
      <w:pPr>
        <w:pStyle w:val="DPDIntro"/>
        <w:widowControl w:val="0"/>
        <w:numPr>
          <w:ilvl w:val="0"/>
          <w:numId w:val="13"/>
        </w:numPr>
        <w:rPr>
          <w:b w:val="0"/>
        </w:rPr>
      </w:pPr>
      <w:r>
        <w:rPr>
          <w:b w:val="0"/>
        </w:rPr>
        <w:t xml:space="preserve">It has been demonstrated in the SA that land south of </w:t>
      </w:r>
      <w:proofErr w:type="spellStart"/>
      <w:r>
        <w:rPr>
          <w:b w:val="0"/>
        </w:rPr>
        <w:t>Walcup’s</w:t>
      </w:r>
      <w:proofErr w:type="spellEnd"/>
      <w:r>
        <w:rPr>
          <w:b w:val="0"/>
        </w:rPr>
        <w:t xml:space="preserve"> Lane is the most sustainable option.  Concerns were expressed regarding potential archaeological remains on the site; the impact on the Great </w:t>
      </w:r>
      <w:proofErr w:type="spellStart"/>
      <w:r>
        <w:rPr>
          <w:b w:val="0"/>
        </w:rPr>
        <w:t>Massingham</w:t>
      </w:r>
      <w:proofErr w:type="spellEnd"/>
      <w:r>
        <w:rPr>
          <w:b w:val="0"/>
        </w:rPr>
        <w:t xml:space="preserve"> </w:t>
      </w:r>
      <w:r>
        <w:rPr>
          <w:b w:val="0"/>
        </w:rPr>
        <w:br/>
        <w:t>Conservation Area; and ecological issues.  With regard to the former the policy requires the submission of a full archaeological assessment and a Heritage Asset Statement and these are appropriate tools to address the issues.  In terms of ecological consequences it is recommended that an additional clause is added to the policy that requires the submission of an Ecological Study (</w:t>
      </w:r>
      <w:r>
        <w:t xml:space="preserve">MM </w:t>
      </w:r>
      <w:r w:rsidR="00A1151C">
        <w:t>44</w:t>
      </w:r>
      <w:r>
        <w:rPr>
          <w:b w:val="0"/>
        </w:rPr>
        <w:t>).</w:t>
      </w:r>
      <w:r w:rsidR="00E15772">
        <w:rPr>
          <w:b w:val="0"/>
        </w:rPr>
        <w:t xml:space="preserve">  On that basis the approach to growth in the village is sound.</w:t>
      </w:r>
    </w:p>
    <w:p w:rsidR="00530DC0" w:rsidRDefault="00530DC0" w:rsidP="00530DC0">
      <w:pPr>
        <w:pStyle w:val="DPDIntro"/>
        <w:widowControl w:val="0"/>
        <w:rPr>
          <w:i/>
        </w:rPr>
      </w:pPr>
      <w:proofErr w:type="spellStart"/>
      <w:r>
        <w:rPr>
          <w:i/>
        </w:rPr>
        <w:lastRenderedPageBreak/>
        <w:t>Harpley</w:t>
      </w:r>
      <w:proofErr w:type="spellEnd"/>
    </w:p>
    <w:p w:rsidR="00530DC0" w:rsidRDefault="00BA609D" w:rsidP="00B249BF">
      <w:pPr>
        <w:pStyle w:val="DPDIntro"/>
        <w:widowControl w:val="0"/>
        <w:numPr>
          <w:ilvl w:val="0"/>
          <w:numId w:val="13"/>
        </w:numPr>
        <w:rPr>
          <w:b w:val="0"/>
        </w:rPr>
      </w:pPr>
      <w:r>
        <w:rPr>
          <w:b w:val="0"/>
        </w:rPr>
        <w:t>The allocated l</w:t>
      </w:r>
      <w:r w:rsidR="00E15772">
        <w:rPr>
          <w:b w:val="0"/>
        </w:rPr>
        <w:t xml:space="preserve">and at </w:t>
      </w:r>
      <w:proofErr w:type="spellStart"/>
      <w:r w:rsidR="00E15772">
        <w:rPr>
          <w:b w:val="0"/>
        </w:rPr>
        <w:t>Nethergate</w:t>
      </w:r>
      <w:proofErr w:type="spellEnd"/>
      <w:r w:rsidR="00E15772">
        <w:rPr>
          <w:b w:val="0"/>
        </w:rPr>
        <w:t xml:space="preserve"> Street/School Lane scores well in the SA.  The site is relatively well screened and would sit comfortably within the village environment.  It is close to village services.  Other sites that were appraised did display other benefits but none</w:t>
      </w:r>
      <w:r w:rsidR="00E870A4">
        <w:rPr>
          <w:b w:val="0"/>
        </w:rPr>
        <w:t xml:space="preserve"> are</w:t>
      </w:r>
      <w:r w:rsidR="00E15772">
        <w:rPr>
          <w:b w:val="0"/>
        </w:rPr>
        <w:t xml:space="preserve"> of such significance to outweigh the Council’s conclusion</w:t>
      </w:r>
      <w:r w:rsidR="00E870A4">
        <w:rPr>
          <w:b w:val="0"/>
        </w:rPr>
        <w:t>, which I agree is justified.</w:t>
      </w:r>
    </w:p>
    <w:p w:rsidR="00530DC0" w:rsidRPr="00530DC0" w:rsidRDefault="00530DC0" w:rsidP="00530DC0">
      <w:pPr>
        <w:pStyle w:val="DPDIntro"/>
        <w:widowControl w:val="0"/>
        <w:rPr>
          <w:i/>
        </w:rPr>
      </w:pPr>
      <w:proofErr w:type="spellStart"/>
      <w:r>
        <w:rPr>
          <w:i/>
        </w:rPr>
        <w:t>Heacham</w:t>
      </w:r>
      <w:proofErr w:type="spellEnd"/>
    </w:p>
    <w:p w:rsidR="00330903" w:rsidRDefault="00773F33" w:rsidP="00B249BF">
      <w:pPr>
        <w:pStyle w:val="DPDIntro"/>
        <w:widowControl w:val="0"/>
        <w:numPr>
          <w:ilvl w:val="0"/>
          <w:numId w:val="13"/>
        </w:numPr>
        <w:rPr>
          <w:b w:val="0"/>
        </w:rPr>
      </w:pPr>
      <w:proofErr w:type="spellStart"/>
      <w:r>
        <w:rPr>
          <w:b w:val="0"/>
        </w:rPr>
        <w:t>Heacham</w:t>
      </w:r>
      <w:proofErr w:type="spellEnd"/>
      <w:r>
        <w:rPr>
          <w:b w:val="0"/>
        </w:rPr>
        <w:t xml:space="preserve"> is a Key Rural Service Centre and two sites are allocated for housing</w:t>
      </w:r>
      <w:r w:rsidR="00860A4D">
        <w:rPr>
          <w:b w:val="0"/>
        </w:rPr>
        <w:t xml:space="preserve"> (off Cheney Hill and to the south of St Mary’s Close)</w:t>
      </w:r>
      <w:r>
        <w:rPr>
          <w:b w:val="0"/>
        </w:rPr>
        <w:t>, which I consider are satisfactorily justified bearing in mind the findings of the SA.  The main issue to address is whether or not</w:t>
      </w:r>
      <w:r w:rsidR="00330903">
        <w:rPr>
          <w:b w:val="0"/>
        </w:rPr>
        <w:t xml:space="preserve"> an alternative</w:t>
      </w:r>
      <w:r w:rsidR="009F7DEF">
        <w:rPr>
          <w:b w:val="0"/>
        </w:rPr>
        <w:t>/additional</w:t>
      </w:r>
      <w:r w:rsidR="00330903">
        <w:rPr>
          <w:b w:val="0"/>
        </w:rPr>
        <w:t xml:space="preserve"> area for development should be identified which would incorporate the provision of specialist accommodation for the elderly</w:t>
      </w:r>
      <w:r w:rsidR="009F7DEF">
        <w:rPr>
          <w:b w:val="0"/>
        </w:rPr>
        <w:t xml:space="preserve"> – as suggested by one of the representors</w:t>
      </w:r>
      <w:r w:rsidR="00330903">
        <w:rPr>
          <w:b w:val="0"/>
        </w:rPr>
        <w:t>.  There is no dispute between the parties that there is a need for housing for the elderly in the north of the Borough.  However, in order to assist in addressing that need the Council is allocating a site in Hunstanton (policy F2.3) which includes the provision of housing with care.</w:t>
      </w:r>
    </w:p>
    <w:p w:rsidR="000F3492" w:rsidRPr="000F3492" w:rsidRDefault="00330903" w:rsidP="000F3492">
      <w:pPr>
        <w:pStyle w:val="DPDIntro"/>
        <w:widowControl w:val="0"/>
        <w:numPr>
          <w:ilvl w:val="0"/>
          <w:numId w:val="13"/>
        </w:numPr>
        <w:rPr>
          <w:b w:val="0"/>
        </w:rPr>
      </w:pPr>
      <w:r w:rsidRPr="000F3492">
        <w:rPr>
          <w:b w:val="0"/>
        </w:rPr>
        <w:t>Irrespective of whether or not there remains a significant need for housing with care (taking into account the aforementioned allocation at Hunstanton)</w:t>
      </w:r>
      <w:r w:rsidR="009F7DEF" w:rsidRPr="000F3492">
        <w:rPr>
          <w:b w:val="0"/>
        </w:rPr>
        <w:t>, consideration needs to be given to whether or not the site being promoted for such a use is appropriate.  There has been a planning application on the site for</w:t>
      </w:r>
      <w:r w:rsidRPr="000F3492">
        <w:rPr>
          <w:b w:val="0"/>
        </w:rPr>
        <w:t xml:space="preserve"> </w:t>
      </w:r>
      <w:r w:rsidR="0076262F" w:rsidRPr="000F3492">
        <w:rPr>
          <w:b w:val="0"/>
        </w:rPr>
        <w:t>‘a care home, housing with care facilities and 70 new homes’ but it was refused by the Council.  At the subsequent recent appeal</w:t>
      </w:r>
      <w:r w:rsidR="004E3148">
        <w:rPr>
          <w:b w:val="0"/>
        </w:rPr>
        <w:t xml:space="preserve"> (July 2016)</w:t>
      </w:r>
      <w:r w:rsidR="0076262F" w:rsidRPr="000F3492">
        <w:rPr>
          <w:b w:val="0"/>
        </w:rPr>
        <w:t xml:space="preserve"> the</w:t>
      </w:r>
      <w:r w:rsidR="009F7DEF" w:rsidRPr="000F3492">
        <w:rPr>
          <w:b w:val="0"/>
        </w:rPr>
        <w:t xml:space="preserve"> Inspector </w:t>
      </w:r>
      <w:r w:rsidR="0076262F" w:rsidRPr="000F3492">
        <w:rPr>
          <w:b w:val="0"/>
        </w:rPr>
        <w:t>concl</w:t>
      </w:r>
      <w:r w:rsidR="009F7DEF" w:rsidRPr="000F3492">
        <w:rPr>
          <w:b w:val="0"/>
        </w:rPr>
        <w:t xml:space="preserve">uded that the </w:t>
      </w:r>
      <w:r w:rsidR="0076262F" w:rsidRPr="000F3492">
        <w:rPr>
          <w:b w:val="0"/>
        </w:rPr>
        <w:t xml:space="preserve">proposed </w:t>
      </w:r>
      <w:r w:rsidR="009F7DEF" w:rsidRPr="000F3492">
        <w:rPr>
          <w:b w:val="0"/>
        </w:rPr>
        <w:t xml:space="preserve">development </w:t>
      </w:r>
      <w:r w:rsidR="0076262F" w:rsidRPr="000F3492">
        <w:rPr>
          <w:b w:val="0"/>
        </w:rPr>
        <w:t xml:space="preserve">would cause harm to the character and appearance of the area and would not contribute towards achieving sustainable patterns of development.  No </w:t>
      </w:r>
      <w:r w:rsidR="000F3492" w:rsidRPr="000F3492">
        <w:rPr>
          <w:b w:val="0"/>
        </w:rPr>
        <w:t xml:space="preserve">substantive </w:t>
      </w:r>
      <w:r w:rsidR="0076262F" w:rsidRPr="000F3492">
        <w:rPr>
          <w:b w:val="0"/>
        </w:rPr>
        <w:t xml:space="preserve">new evidence was submitted that would lead me to </w:t>
      </w:r>
      <w:r w:rsidR="00BA609D" w:rsidRPr="000F3492">
        <w:rPr>
          <w:b w:val="0"/>
        </w:rPr>
        <w:t>contradict</w:t>
      </w:r>
      <w:r w:rsidR="0076262F" w:rsidRPr="000F3492">
        <w:rPr>
          <w:b w:val="0"/>
        </w:rPr>
        <w:t xml:space="preserve"> the conclusions of my colleague.</w:t>
      </w:r>
    </w:p>
    <w:p w:rsidR="00BB4AD6" w:rsidRPr="00BB4AD6" w:rsidRDefault="00BB4AD6" w:rsidP="00BB4AD6">
      <w:pPr>
        <w:pStyle w:val="DPDIntro"/>
        <w:widowControl w:val="0"/>
        <w:rPr>
          <w:i/>
        </w:rPr>
      </w:pPr>
      <w:proofErr w:type="spellStart"/>
      <w:r>
        <w:rPr>
          <w:i/>
        </w:rPr>
        <w:t>Hilgay</w:t>
      </w:r>
      <w:proofErr w:type="spellEnd"/>
    </w:p>
    <w:p w:rsidR="00530DC0" w:rsidRPr="000F3492" w:rsidRDefault="00EB7A03" w:rsidP="000F3492">
      <w:pPr>
        <w:pStyle w:val="DPDIntro"/>
        <w:widowControl w:val="0"/>
        <w:numPr>
          <w:ilvl w:val="0"/>
          <w:numId w:val="13"/>
        </w:numPr>
        <w:rPr>
          <w:b w:val="0"/>
        </w:rPr>
      </w:pPr>
      <w:r w:rsidRPr="000F3492">
        <w:rPr>
          <w:b w:val="0"/>
        </w:rPr>
        <w:t>There are a number of constraints to development in the village, including the highway network and the quality of the surrounding agricultural land.  The SA, however, provides sufficient justification for the allocation of site G48.1, which in terms of design and layout could be assimilated well into the existing settlement</w:t>
      </w:r>
      <w:r w:rsidR="005C6993" w:rsidRPr="000F3492">
        <w:rPr>
          <w:b w:val="0"/>
        </w:rPr>
        <w:t>.  There is no reason to doubt that a satisfactory access can be achieved or that the existence of the water main and sewer crossing the site cannot be accommodated within the overall development.  The allocation of land to the south of Foresters Avenue is sound.</w:t>
      </w:r>
      <w:r w:rsidR="009F7DEF" w:rsidRPr="000F3492">
        <w:rPr>
          <w:b w:val="0"/>
        </w:rPr>
        <w:t xml:space="preserve"> </w:t>
      </w:r>
      <w:r w:rsidR="00330903" w:rsidRPr="000F3492">
        <w:rPr>
          <w:b w:val="0"/>
        </w:rPr>
        <w:t xml:space="preserve">  </w:t>
      </w:r>
    </w:p>
    <w:p w:rsidR="00530DC0" w:rsidRPr="00530DC0" w:rsidRDefault="00530DC0" w:rsidP="00530DC0">
      <w:pPr>
        <w:pStyle w:val="DPDIntro"/>
        <w:widowControl w:val="0"/>
        <w:rPr>
          <w:i/>
        </w:rPr>
      </w:pPr>
      <w:proofErr w:type="spellStart"/>
      <w:r>
        <w:rPr>
          <w:i/>
        </w:rPr>
        <w:t>Leziate</w:t>
      </w:r>
      <w:proofErr w:type="spellEnd"/>
    </w:p>
    <w:p w:rsidR="003C3791" w:rsidRDefault="009F5AF7" w:rsidP="00B249BF">
      <w:pPr>
        <w:pStyle w:val="DPDIntro"/>
        <w:widowControl w:val="0"/>
        <w:numPr>
          <w:ilvl w:val="0"/>
          <w:numId w:val="13"/>
        </w:numPr>
        <w:rPr>
          <w:b w:val="0"/>
        </w:rPr>
      </w:pPr>
      <w:proofErr w:type="spellStart"/>
      <w:r>
        <w:rPr>
          <w:b w:val="0"/>
        </w:rPr>
        <w:t>Leziate</w:t>
      </w:r>
      <w:proofErr w:type="spellEnd"/>
      <w:r>
        <w:rPr>
          <w:b w:val="0"/>
        </w:rPr>
        <w:t xml:space="preserve"> is designated a ‘smaller village and hamlet’ and as such has no allocations or a development boundary.  There is, however, a significant</w:t>
      </w:r>
      <w:r w:rsidR="003C3791">
        <w:rPr>
          <w:b w:val="0"/>
        </w:rPr>
        <w:t xml:space="preserve"> minerals</w:t>
      </w:r>
      <w:r>
        <w:rPr>
          <w:b w:val="0"/>
        </w:rPr>
        <w:t xml:space="preserve"> </w:t>
      </w:r>
      <w:r w:rsidR="003C3791">
        <w:rPr>
          <w:b w:val="0"/>
        </w:rPr>
        <w:t xml:space="preserve">business </w:t>
      </w:r>
      <w:r>
        <w:rPr>
          <w:b w:val="0"/>
        </w:rPr>
        <w:t>in the settlement (</w:t>
      </w:r>
      <w:proofErr w:type="spellStart"/>
      <w:r>
        <w:rPr>
          <w:b w:val="0"/>
        </w:rPr>
        <w:t>Sibelco</w:t>
      </w:r>
      <w:proofErr w:type="spellEnd"/>
      <w:r>
        <w:rPr>
          <w:b w:val="0"/>
        </w:rPr>
        <w:t xml:space="preserve"> UK Ltd.) and it was requested that</w:t>
      </w:r>
      <w:r w:rsidR="00DE499A">
        <w:rPr>
          <w:b w:val="0"/>
        </w:rPr>
        <w:t xml:space="preserve"> </w:t>
      </w:r>
      <w:r>
        <w:rPr>
          <w:b w:val="0"/>
        </w:rPr>
        <w:t xml:space="preserve">its future role in the economy of the area should be acknowledged.  </w:t>
      </w:r>
      <w:r w:rsidR="00DE499A">
        <w:rPr>
          <w:b w:val="0"/>
        </w:rPr>
        <w:t xml:space="preserve">However, the area is subject to mineral safeguarding restrictions so any proposals would need to be considered by the County Council as minerals authority.  Depending on the County’s conclusions, CS policy CS10 would </w:t>
      </w:r>
      <w:r w:rsidR="00DE499A">
        <w:rPr>
          <w:b w:val="0"/>
        </w:rPr>
        <w:lastRenderedPageBreak/>
        <w:t>provide support for appropriate development or redevelopment.  I was told that</w:t>
      </w:r>
      <w:r>
        <w:rPr>
          <w:b w:val="0"/>
        </w:rPr>
        <w:t xml:space="preserve"> there are</w:t>
      </w:r>
      <w:r w:rsidR="00DE499A">
        <w:rPr>
          <w:b w:val="0"/>
        </w:rPr>
        <w:t xml:space="preserve"> currently</w:t>
      </w:r>
      <w:r>
        <w:rPr>
          <w:b w:val="0"/>
        </w:rPr>
        <w:t xml:space="preserve"> no major proposals for the site</w:t>
      </w:r>
      <w:r w:rsidR="00DE499A">
        <w:rPr>
          <w:b w:val="0"/>
        </w:rPr>
        <w:t xml:space="preserve"> but should circumstances change there may be an opportunity to reconsider the situation in the forthcoming LP review.</w:t>
      </w:r>
    </w:p>
    <w:p w:rsidR="003C3791" w:rsidRPr="003C3791" w:rsidRDefault="003C3791" w:rsidP="003C3791">
      <w:pPr>
        <w:pStyle w:val="DPDIntro"/>
        <w:widowControl w:val="0"/>
        <w:rPr>
          <w:i/>
        </w:rPr>
      </w:pPr>
      <w:r>
        <w:rPr>
          <w:i/>
        </w:rPr>
        <w:t>Marshland St James</w:t>
      </w:r>
      <w:r w:rsidR="00BB4AD6">
        <w:rPr>
          <w:i/>
        </w:rPr>
        <w:t>/St John’s Fen End/Tilney Fen End</w:t>
      </w:r>
    </w:p>
    <w:p w:rsidR="00BA609D" w:rsidRPr="00B147C7" w:rsidRDefault="003A1F71" w:rsidP="00BA609D">
      <w:pPr>
        <w:pStyle w:val="DPDIntro"/>
        <w:widowControl w:val="0"/>
        <w:numPr>
          <w:ilvl w:val="0"/>
          <w:numId w:val="13"/>
        </w:numPr>
        <w:rPr>
          <w:b w:val="0"/>
        </w:rPr>
      </w:pPr>
      <w:r w:rsidRPr="00B147C7">
        <w:rPr>
          <w:b w:val="0"/>
        </w:rPr>
        <w:t>Two housing sites are allocated in the village and their allocation is justified by the conclusions of the SA.  However, the boundary of site G57.2 is incorrectly delineated on Inset Map G57 and it is therefore recommended that the correct boundary (which does not include an adjacent dwelling and garden land) should be identified on the plan (</w:t>
      </w:r>
      <w:r>
        <w:t xml:space="preserve">MM </w:t>
      </w:r>
      <w:r w:rsidR="00A1151C">
        <w:t>45</w:t>
      </w:r>
      <w:r w:rsidRPr="00B147C7">
        <w:rPr>
          <w:b w:val="0"/>
        </w:rPr>
        <w:t>)</w:t>
      </w:r>
      <w:r w:rsidR="00EA7790">
        <w:rPr>
          <w:b w:val="0"/>
        </w:rPr>
        <w:t xml:space="preserve"> in order to ensure that the policy will be effective.</w:t>
      </w:r>
    </w:p>
    <w:p w:rsidR="00B61526" w:rsidRPr="00B61526" w:rsidRDefault="00B61526" w:rsidP="00B61526">
      <w:pPr>
        <w:pStyle w:val="DPDIntro"/>
        <w:widowControl w:val="0"/>
        <w:rPr>
          <w:i/>
        </w:rPr>
      </w:pPr>
      <w:proofErr w:type="spellStart"/>
      <w:r>
        <w:rPr>
          <w:i/>
        </w:rPr>
        <w:t>Methwold</w:t>
      </w:r>
      <w:proofErr w:type="spellEnd"/>
      <w:r>
        <w:rPr>
          <w:i/>
        </w:rPr>
        <w:t xml:space="preserve"> Hythe</w:t>
      </w:r>
    </w:p>
    <w:p w:rsidR="00530DC0" w:rsidRPr="003A1F71" w:rsidRDefault="00B56CED" w:rsidP="003A1F71">
      <w:pPr>
        <w:pStyle w:val="DPDIntro"/>
        <w:widowControl w:val="0"/>
        <w:numPr>
          <w:ilvl w:val="0"/>
          <w:numId w:val="13"/>
        </w:numPr>
        <w:rPr>
          <w:b w:val="0"/>
        </w:rPr>
      </w:pPr>
      <w:proofErr w:type="spellStart"/>
      <w:r>
        <w:rPr>
          <w:b w:val="0"/>
        </w:rPr>
        <w:t>Methwold</w:t>
      </w:r>
      <w:proofErr w:type="spellEnd"/>
      <w:r>
        <w:rPr>
          <w:b w:val="0"/>
        </w:rPr>
        <w:t xml:space="preserve"> Hythe is classified in the CS as a ‘Smaller Village and Hamlet’ where it would be inappropriate to seek further development.  No development boundaries are delineated for such settlements.  In terms of sustainability the village does not score well and there is no evidence that would justify the Council in taking a different approach in </w:t>
      </w:r>
      <w:proofErr w:type="spellStart"/>
      <w:r>
        <w:rPr>
          <w:b w:val="0"/>
        </w:rPr>
        <w:t>Methwold</w:t>
      </w:r>
      <w:proofErr w:type="spellEnd"/>
      <w:r>
        <w:rPr>
          <w:b w:val="0"/>
        </w:rPr>
        <w:t xml:space="preserve"> Hythe to the other 53 settlements in this category.  In any event policy DM3 does allow for some limited provision of new housing, subject to meeting the necessary criteria.  The Council’s approach is sound.</w:t>
      </w:r>
      <w:r w:rsidR="009F5AF7" w:rsidRPr="003A1F71">
        <w:rPr>
          <w:b w:val="0"/>
        </w:rPr>
        <w:t xml:space="preserve"> </w:t>
      </w:r>
    </w:p>
    <w:p w:rsidR="00530DC0" w:rsidRPr="00530DC0" w:rsidRDefault="00530DC0" w:rsidP="00530DC0">
      <w:pPr>
        <w:pStyle w:val="DPDIntro"/>
        <w:widowControl w:val="0"/>
        <w:rPr>
          <w:i/>
        </w:rPr>
      </w:pPr>
      <w:proofErr w:type="spellStart"/>
      <w:r>
        <w:rPr>
          <w:i/>
        </w:rPr>
        <w:t>Methwold</w:t>
      </w:r>
      <w:proofErr w:type="spellEnd"/>
      <w:r>
        <w:rPr>
          <w:i/>
        </w:rPr>
        <w:t xml:space="preserve"> and </w:t>
      </w:r>
      <w:proofErr w:type="spellStart"/>
      <w:r>
        <w:rPr>
          <w:i/>
        </w:rPr>
        <w:t>Northwold</w:t>
      </w:r>
      <w:proofErr w:type="spellEnd"/>
    </w:p>
    <w:p w:rsidR="00530DC0" w:rsidRDefault="008C7CEC" w:rsidP="00B249BF">
      <w:pPr>
        <w:pStyle w:val="DPDIntro"/>
        <w:widowControl w:val="0"/>
        <w:numPr>
          <w:ilvl w:val="0"/>
          <w:numId w:val="13"/>
        </w:numPr>
        <w:rPr>
          <w:b w:val="0"/>
        </w:rPr>
      </w:pPr>
      <w:r>
        <w:rPr>
          <w:b w:val="0"/>
        </w:rPr>
        <w:t xml:space="preserve">No sites are allocated in </w:t>
      </w:r>
      <w:proofErr w:type="spellStart"/>
      <w:r>
        <w:rPr>
          <w:b w:val="0"/>
        </w:rPr>
        <w:t>Northwold</w:t>
      </w:r>
      <w:proofErr w:type="spellEnd"/>
      <w:r>
        <w:rPr>
          <w:b w:val="0"/>
        </w:rPr>
        <w:t xml:space="preserve"> (primarily for highway reasons) but there are four allocations in </w:t>
      </w:r>
      <w:proofErr w:type="spellStart"/>
      <w:r>
        <w:rPr>
          <w:b w:val="0"/>
        </w:rPr>
        <w:t>Methwold</w:t>
      </w:r>
      <w:proofErr w:type="spellEnd"/>
      <w:r>
        <w:rPr>
          <w:b w:val="0"/>
        </w:rPr>
        <w:t>.  Concerns were raised regarding errors in policy G59.1 and G59.4 in relation to heritage issues.  The Council acknowledges these errors and is proposing to amend the policies accordingly.  This is necessary to reflect the most appropriate strategy</w:t>
      </w:r>
      <w:r w:rsidR="00B147C7">
        <w:rPr>
          <w:b w:val="0"/>
        </w:rPr>
        <w:t>.</w:t>
      </w:r>
    </w:p>
    <w:p w:rsidR="00E96550" w:rsidRPr="00B147C7" w:rsidRDefault="00E96550" w:rsidP="00B249BF">
      <w:pPr>
        <w:pStyle w:val="DPDIntro"/>
        <w:widowControl w:val="0"/>
        <w:numPr>
          <w:ilvl w:val="0"/>
          <w:numId w:val="13"/>
        </w:numPr>
        <w:rPr>
          <w:b w:val="0"/>
        </w:rPr>
      </w:pPr>
      <w:r>
        <w:rPr>
          <w:b w:val="0"/>
        </w:rPr>
        <w:t>Similarly policy G59.4 should refer to the need for highway improvements to</w:t>
      </w:r>
      <w:r w:rsidR="0088429D">
        <w:rPr>
          <w:b w:val="0"/>
        </w:rPr>
        <w:t xml:space="preserve"> be provided to</w:t>
      </w:r>
      <w:r>
        <w:rPr>
          <w:b w:val="0"/>
        </w:rPr>
        <w:t xml:space="preserve"> the satisfaction of the Highway Authority</w:t>
      </w:r>
      <w:r w:rsidR="00B147C7">
        <w:rPr>
          <w:b w:val="0"/>
        </w:rPr>
        <w:t xml:space="preserve">.  </w:t>
      </w:r>
      <w:r w:rsidR="00B147C7">
        <w:t>MM46</w:t>
      </w:r>
      <w:r>
        <w:rPr>
          <w:b w:val="0"/>
        </w:rPr>
        <w:t xml:space="preserve"> and </w:t>
      </w:r>
      <w:r>
        <w:t>MM</w:t>
      </w:r>
      <w:r w:rsidR="00A1151C">
        <w:t>47</w:t>
      </w:r>
      <w:r w:rsidR="00B147C7" w:rsidRPr="00B147C7">
        <w:rPr>
          <w:b w:val="0"/>
        </w:rPr>
        <w:t>, which address</w:t>
      </w:r>
      <w:r w:rsidR="00B147C7">
        <w:rPr>
          <w:b w:val="0"/>
        </w:rPr>
        <w:t xml:space="preserve"> all</w:t>
      </w:r>
      <w:r w:rsidR="00B147C7" w:rsidRPr="00B147C7">
        <w:rPr>
          <w:b w:val="0"/>
        </w:rPr>
        <w:t xml:space="preserve"> these matters</w:t>
      </w:r>
      <w:r w:rsidR="00B147C7">
        <w:rPr>
          <w:b w:val="0"/>
        </w:rPr>
        <w:t xml:space="preserve">, are </w:t>
      </w:r>
      <w:r w:rsidR="00BA609D" w:rsidRPr="00B147C7">
        <w:rPr>
          <w:b w:val="0"/>
        </w:rPr>
        <w:t>consequently</w:t>
      </w:r>
      <w:r w:rsidRPr="00B147C7">
        <w:rPr>
          <w:b w:val="0"/>
        </w:rPr>
        <w:t xml:space="preserve"> recommended.</w:t>
      </w:r>
    </w:p>
    <w:p w:rsidR="00E96550" w:rsidRDefault="00B147C7" w:rsidP="00B249BF">
      <w:pPr>
        <w:pStyle w:val="DPDIntro"/>
        <w:widowControl w:val="0"/>
        <w:numPr>
          <w:ilvl w:val="0"/>
          <w:numId w:val="13"/>
        </w:numPr>
        <w:rPr>
          <w:b w:val="0"/>
        </w:rPr>
      </w:pPr>
      <w:r>
        <w:rPr>
          <w:b w:val="0"/>
        </w:rPr>
        <w:t>I am satisfied that t</w:t>
      </w:r>
      <w:r w:rsidR="00E96550">
        <w:rPr>
          <w:b w:val="0"/>
        </w:rPr>
        <w:t xml:space="preserve">he SA provides the </w:t>
      </w:r>
      <w:r>
        <w:rPr>
          <w:b w:val="0"/>
        </w:rPr>
        <w:t xml:space="preserve">broad </w:t>
      </w:r>
      <w:r w:rsidR="00E96550">
        <w:rPr>
          <w:b w:val="0"/>
        </w:rPr>
        <w:t xml:space="preserve">justification for the Council’s approach in </w:t>
      </w:r>
      <w:proofErr w:type="spellStart"/>
      <w:r w:rsidR="00E96550">
        <w:rPr>
          <w:b w:val="0"/>
        </w:rPr>
        <w:t>Methwold</w:t>
      </w:r>
      <w:proofErr w:type="spellEnd"/>
      <w:r w:rsidR="00E96550">
        <w:rPr>
          <w:b w:val="0"/>
        </w:rPr>
        <w:t xml:space="preserve"> and </w:t>
      </w:r>
      <w:proofErr w:type="spellStart"/>
      <w:r w:rsidR="00E96550">
        <w:rPr>
          <w:b w:val="0"/>
        </w:rPr>
        <w:t>Northwold</w:t>
      </w:r>
      <w:proofErr w:type="spellEnd"/>
      <w:r>
        <w:rPr>
          <w:b w:val="0"/>
        </w:rPr>
        <w:t xml:space="preserve">, </w:t>
      </w:r>
      <w:r w:rsidR="00843DAA">
        <w:rPr>
          <w:b w:val="0"/>
        </w:rPr>
        <w:t>and that it</w:t>
      </w:r>
      <w:r>
        <w:rPr>
          <w:b w:val="0"/>
        </w:rPr>
        <w:t xml:space="preserve"> is sound</w:t>
      </w:r>
      <w:r w:rsidR="00E96550">
        <w:rPr>
          <w:b w:val="0"/>
        </w:rPr>
        <w:t>.</w:t>
      </w:r>
    </w:p>
    <w:p w:rsidR="00530DC0" w:rsidRPr="00530DC0" w:rsidRDefault="00530DC0" w:rsidP="00530DC0">
      <w:pPr>
        <w:pStyle w:val="DPDIntro"/>
        <w:widowControl w:val="0"/>
        <w:rPr>
          <w:i/>
        </w:rPr>
      </w:pPr>
      <w:r>
        <w:rPr>
          <w:i/>
        </w:rPr>
        <w:t xml:space="preserve">North </w:t>
      </w:r>
      <w:proofErr w:type="spellStart"/>
      <w:r>
        <w:rPr>
          <w:i/>
        </w:rPr>
        <w:t>Runcton</w:t>
      </w:r>
      <w:proofErr w:type="spellEnd"/>
    </w:p>
    <w:p w:rsidR="00530DC0" w:rsidRDefault="00E96550" w:rsidP="00B249BF">
      <w:pPr>
        <w:pStyle w:val="DPDIntro"/>
        <w:widowControl w:val="0"/>
        <w:numPr>
          <w:ilvl w:val="0"/>
          <w:numId w:val="13"/>
        </w:numPr>
        <w:rPr>
          <w:b w:val="0"/>
        </w:rPr>
      </w:pPr>
      <w:r>
        <w:rPr>
          <w:b w:val="0"/>
        </w:rPr>
        <w:t xml:space="preserve">The CS identifies North </w:t>
      </w:r>
      <w:proofErr w:type="spellStart"/>
      <w:r>
        <w:rPr>
          <w:b w:val="0"/>
        </w:rPr>
        <w:t>Runcton</w:t>
      </w:r>
      <w:proofErr w:type="spellEnd"/>
      <w:r>
        <w:rPr>
          <w:b w:val="0"/>
        </w:rPr>
        <w:t xml:space="preserve"> as a ‘smaller village and hamlet’</w:t>
      </w:r>
      <w:r w:rsidR="007D19AE">
        <w:rPr>
          <w:b w:val="0"/>
        </w:rPr>
        <w:t xml:space="preserve"> a</w:t>
      </w:r>
      <w:r>
        <w:rPr>
          <w:b w:val="0"/>
        </w:rPr>
        <w:t>nd</w:t>
      </w:r>
      <w:r w:rsidR="007D19AE">
        <w:rPr>
          <w:b w:val="0"/>
        </w:rPr>
        <w:t xml:space="preserve"> it</w:t>
      </w:r>
      <w:r>
        <w:rPr>
          <w:b w:val="0"/>
        </w:rPr>
        <w:t xml:space="preserve"> has no development boundary.  Nevertheless</w:t>
      </w:r>
      <w:r w:rsidR="007D19AE">
        <w:rPr>
          <w:b w:val="0"/>
        </w:rPr>
        <w:t>, because of its proximity to the West Winch Growth Area,</w:t>
      </w:r>
      <w:r>
        <w:rPr>
          <w:b w:val="0"/>
        </w:rPr>
        <w:t xml:space="preserve"> a number of sites around the village of were </w:t>
      </w:r>
      <w:proofErr w:type="gramStart"/>
      <w:r>
        <w:rPr>
          <w:b w:val="0"/>
        </w:rPr>
        <w:t>appraised</w:t>
      </w:r>
      <w:proofErr w:type="gramEnd"/>
      <w:r>
        <w:rPr>
          <w:b w:val="0"/>
        </w:rPr>
        <w:t xml:space="preserve"> by the Council.</w:t>
      </w:r>
      <w:r w:rsidR="007D19AE">
        <w:rPr>
          <w:b w:val="0"/>
        </w:rPr>
        <w:t xml:space="preserve">  It was concluded that in terms of access, heritage, settlement character and the relationship with West Winch, none of the sites around the village were sufficiently sustainable to justify being allocated and I agree with this conclusion.  As development at West Winch progresses there could be a justification for reconsidering the approach to development at North </w:t>
      </w:r>
      <w:proofErr w:type="spellStart"/>
      <w:r w:rsidR="007D19AE">
        <w:rPr>
          <w:b w:val="0"/>
        </w:rPr>
        <w:t>Runcton</w:t>
      </w:r>
      <w:proofErr w:type="spellEnd"/>
      <w:r w:rsidR="007D19AE">
        <w:rPr>
          <w:b w:val="0"/>
        </w:rPr>
        <w:t xml:space="preserve"> but if that were the case it would be a function of the forthcoming local plan review to address the matter.</w:t>
      </w:r>
    </w:p>
    <w:p w:rsidR="00530DC0" w:rsidRPr="00530DC0" w:rsidRDefault="00530DC0" w:rsidP="00530DC0">
      <w:pPr>
        <w:pStyle w:val="DPDIntro"/>
        <w:widowControl w:val="0"/>
        <w:rPr>
          <w:i/>
        </w:rPr>
      </w:pPr>
      <w:r>
        <w:rPr>
          <w:i/>
        </w:rPr>
        <w:lastRenderedPageBreak/>
        <w:t>Snettisham</w:t>
      </w:r>
    </w:p>
    <w:p w:rsidR="00530DC0" w:rsidRPr="002E3B20" w:rsidRDefault="002E3B20" w:rsidP="00B249BF">
      <w:pPr>
        <w:pStyle w:val="DPDIntro"/>
        <w:widowControl w:val="0"/>
        <w:numPr>
          <w:ilvl w:val="0"/>
          <w:numId w:val="13"/>
        </w:numPr>
        <w:rPr>
          <w:b w:val="0"/>
        </w:rPr>
      </w:pPr>
      <w:r w:rsidRPr="002E3B20">
        <w:rPr>
          <w:b w:val="0"/>
        </w:rPr>
        <w:t>One site is allocated in the village and the northern part of it has already been granted planning permission for 23 dwellings.  Drainage and highways issues have been resolved to the satisfaction of the Borough Council.  The site is close to services and facilities and would assimilate well into the existing sett</w:t>
      </w:r>
      <w:r w:rsidR="00BA609D">
        <w:rPr>
          <w:b w:val="0"/>
        </w:rPr>
        <w:t>lement.  The C</w:t>
      </w:r>
      <w:r w:rsidRPr="002E3B20">
        <w:rPr>
          <w:b w:val="0"/>
        </w:rPr>
        <w:t>ouncil’s approach is sound.</w:t>
      </w:r>
    </w:p>
    <w:p w:rsidR="00946BE3" w:rsidRPr="00946BE3" w:rsidRDefault="00946BE3" w:rsidP="00946BE3">
      <w:pPr>
        <w:pStyle w:val="DPDIntro"/>
        <w:widowControl w:val="0"/>
        <w:rPr>
          <w:i/>
        </w:rPr>
      </w:pPr>
      <w:proofErr w:type="spellStart"/>
      <w:r>
        <w:rPr>
          <w:i/>
        </w:rPr>
        <w:t>Southery</w:t>
      </w:r>
      <w:proofErr w:type="spellEnd"/>
    </w:p>
    <w:p w:rsidR="00A1151C" w:rsidRPr="00CA0E00" w:rsidRDefault="00F05461" w:rsidP="00B249BF">
      <w:pPr>
        <w:pStyle w:val="DPDIntro"/>
        <w:widowControl w:val="0"/>
        <w:numPr>
          <w:ilvl w:val="0"/>
          <w:numId w:val="13"/>
        </w:numPr>
        <w:rPr>
          <w:b w:val="0"/>
        </w:rPr>
      </w:pPr>
      <w:r w:rsidRPr="00CA0E00">
        <w:rPr>
          <w:b w:val="0"/>
        </w:rPr>
        <w:t xml:space="preserve">There is not a clear frontrunner in terms of the sites appraised by the Council but the selected site (policy G85.1) is </w:t>
      </w:r>
      <w:r w:rsidR="00CA50F7">
        <w:rPr>
          <w:b w:val="0"/>
        </w:rPr>
        <w:t>near</w:t>
      </w:r>
      <w:r w:rsidRPr="00CA0E00">
        <w:rPr>
          <w:b w:val="0"/>
        </w:rPr>
        <w:t xml:space="preserve"> the village centre, close to services, and would integrate well into the existing settlement form.  It has been confirmed that Lion</w:t>
      </w:r>
      <w:r w:rsidR="00B310B1">
        <w:rPr>
          <w:b w:val="0"/>
        </w:rPr>
        <w:t>s</w:t>
      </w:r>
      <w:r w:rsidRPr="00CA0E00">
        <w:rPr>
          <w:b w:val="0"/>
        </w:rPr>
        <w:t xml:space="preserve"> Close has been adopted by the Council and therefore a satisfactory access can be achieved.</w:t>
      </w:r>
      <w:r w:rsidR="00BF71EA" w:rsidRPr="00CA0E00">
        <w:rPr>
          <w:b w:val="0"/>
        </w:rPr>
        <w:t xml:space="preserve">  The site off Lions Close is therefore justified and there is no reason to consider amending the development boundary elsewhere in the village to accommodate further growth.</w:t>
      </w:r>
      <w:r w:rsidR="0088429D" w:rsidRPr="00CA0E00">
        <w:rPr>
          <w:b w:val="0"/>
        </w:rPr>
        <w:t xml:space="preserve">  </w:t>
      </w:r>
      <w:r w:rsidR="00CA0E00" w:rsidRPr="00CA0E00">
        <w:rPr>
          <w:b w:val="0"/>
        </w:rPr>
        <w:t>There is no longer sufficient justification for requiring the submission of an ‘odour assessment’ in relation to the site and therefore it is recommended that the reference to the assessment is removed from the policy (</w:t>
      </w:r>
      <w:r w:rsidR="00A1151C">
        <w:t>MM49</w:t>
      </w:r>
      <w:r w:rsidR="00CA0E00">
        <w:rPr>
          <w:b w:val="0"/>
        </w:rPr>
        <w:t>).</w:t>
      </w:r>
    </w:p>
    <w:p w:rsidR="00AD65C6" w:rsidRPr="00AD65C6" w:rsidRDefault="00AD65C6" w:rsidP="00AD65C6">
      <w:pPr>
        <w:pStyle w:val="DPDIntro"/>
        <w:widowControl w:val="0"/>
        <w:rPr>
          <w:i/>
        </w:rPr>
      </w:pPr>
      <w:r>
        <w:rPr>
          <w:i/>
        </w:rPr>
        <w:t>Stoke Ferry</w:t>
      </w:r>
    </w:p>
    <w:p w:rsidR="00AD65C6" w:rsidRDefault="004B26F8" w:rsidP="00B249BF">
      <w:pPr>
        <w:pStyle w:val="DPDIntro"/>
        <w:widowControl w:val="0"/>
        <w:numPr>
          <w:ilvl w:val="0"/>
          <w:numId w:val="13"/>
        </w:numPr>
        <w:rPr>
          <w:b w:val="0"/>
        </w:rPr>
      </w:pPr>
      <w:r>
        <w:rPr>
          <w:b w:val="0"/>
        </w:rPr>
        <w:t xml:space="preserve">Three sites in Stoke Ferry are allocated for residential development.  They are all relatively close to the village centre and score well in the SA.  It was argued at the hearing that </w:t>
      </w:r>
      <w:r w:rsidR="00546594">
        <w:rPr>
          <w:b w:val="0"/>
        </w:rPr>
        <w:t>land</w:t>
      </w:r>
      <w:r>
        <w:rPr>
          <w:b w:val="0"/>
        </w:rPr>
        <w:t xml:space="preserve"> to the north of </w:t>
      </w:r>
      <w:r w:rsidR="00546594">
        <w:rPr>
          <w:b w:val="0"/>
        </w:rPr>
        <w:t>Stoke Ferry</w:t>
      </w:r>
      <w:r>
        <w:rPr>
          <w:b w:val="0"/>
        </w:rPr>
        <w:t xml:space="preserve"> should be allocated but it is further away from facilities and </w:t>
      </w:r>
      <w:proofErr w:type="gramStart"/>
      <w:r>
        <w:rPr>
          <w:b w:val="0"/>
        </w:rPr>
        <w:t>services,</w:t>
      </w:r>
      <w:proofErr w:type="gramEnd"/>
      <w:r>
        <w:rPr>
          <w:b w:val="0"/>
        </w:rPr>
        <w:t xml:space="preserve"> </w:t>
      </w:r>
      <w:r w:rsidR="00546594">
        <w:rPr>
          <w:b w:val="0"/>
        </w:rPr>
        <w:t>would result in the loss of some grade 2 agricultural land and would be more difficult to assimilate into the existing settlement.</w:t>
      </w:r>
      <w:r w:rsidR="00BA609D">
        <w:rPr>
          <w:b w:val="0"/>
        </w:rPr>
        <w:t xml:space="preserve">  I am satisfied that the allocations are sound.</w:t>
      </w:r>
      <w:r w:rsidR="00546594">
        <w:rPr>
          <w:b w:val="0"/>
        </w:rPr>
        <w:t xml:space="preserve">  </w:t>
      </w:r>
    </w:p>
    <w:p w:rsidR="00453360" w:rsidRDefault="00546594" w:rsidP="00B249BF">
      <w:pPr>
        <w:pStyle w:val="DPDIntro"/>
        <w:widowControl w:val="0"/>
        <w:numPr>
          <w:ilvl w:val="0"/>
          <w:numId w:val="13"/>
        </w:numPr>
        <w:rPr>
          <w:b w:val="0"/>
        </w:rPr>
      </w:pPr>
      <w:r w:rsidRPr="00453360">
        <w:rPr>
          <w:b w:val="0"/>
        </w:rPr>
        <w:t>A site to the south of the village (Site 491) was appraised in the SA but rejected by the Council</w:t>
      </w:r>
      <w:r w:rsidR="00453360" w:rsidRPr="00453360">
        <w:rPr>
          <w:b w:val="0"/>
        </w:rPr>
        <w:t>, one of the reasons being</w:t>
      </w:r>
      <w:r w:rsidRPr="00453360">
        <w:rPr>
          <w:b w:val="0"/>
        </w:rPr>
        <w:t xml:space="preserve"> the loss of employment land.</w:t>
      </w:r>
      <w:r w:rsidR="00453360" w:rsidRPr="00453360">
        <w:rPr>
          <w:b w:val="0"/>
        </w:rPr>
        <w:t xml:space="preserve">  However, I understand that outline planning permission has now been granted for 15 dwellings on the site</w:t>
      </w:r>
      <w:r w:rsidR="00453360">
        <w:rPr>
          <w:rStyle w:val="FootnoteReference"/>
          <w:b w:val="0"/>
        </w:rPr>
        <w:footnoteReference w:id="11"/>
      </w:r>
      <w:r w:rsidR="00453360" w:rsidRPr="00453360">
        <w:rPr>
          <w:b w:val="0"/>
        </w:rPr>
        <w:t>.</w:t>
      </w:r>
      <w:r w:rsidRPr="00453360">
        <w:rPr>
          <w:b w:val="0"/>
        </w:rPr>
        <w:t xml:space="preserve">  </w:t>
      </w:r>
    </w:p>
    <w:p w:rsidR="00CA0E00" w:rsidRPr="00453360" w:rsidRDefault="00CA0E00" w:rsidP="00B249BF">
      <w:pPr>
        <w:pStyle w:val="DPDIntro"/>
        <w:widowControl w:val="0"/>
        <w:numPr>
          <w:ilvl w:val="0"/>
          <w:numId w:val="13"/>
        </w:numPr>
        <w:rPr>
          <w:b w:val="0"/>
        </w:rPr>
      </w:pPr>
      <w:r w:rsidRPr="00453360">
        <w:rPr>
          <w:b w:val="0"/>
        </w:rPr>
        <w:t>In order to reflect recent development it is recommended that the development boundary to the north of site G88.1 is updated (</w:t>
      </w:r>
      <w:r w:rsidR="00A1151C">
        <w:t>MM48</w:t>
      </w:r>
      <w:r w:rsidRPr="00453360">
        <w:rPr>
          <w:b w:val="0"/>
        </w:rPr>
        <w:t>)</w:t>
      </w:r>
      <w:r w:rsidR="00EA7790">
        <w:rPr>
          <w:b w:val="0"/>
        </w:rPr>
        <w:t xml:space="preserve"> thus ensuring the effectiveness of the policy</w:t>
      </w:r>
      <w:r w:rsidRPr="00453360">
        <w:rPr>
          <w:b w:val="0"/>
        </w:rPr>
        <w:t xml:space="preserve">.  </w:t>
      </w:r>
    </w:p>
    <w:p w:rsidR="00A1151C" w:rsidRDefault="00CA0E00" w:rsidP="00B249BF">
      <w:pPr>
        <w:pStyle w:val="DPDIntro"/>
        <w:widowControl w:val="0"/>
        <w:numPr>
          <w:ilvl w:val="0"/>
          <w:numId w:val="13"/>
        </w:numPr>
        <w:rPr>
          <w:b w:val="0"/>
        </w:rPr>
      </w:pPr>
      <w:r>
        <w:rPr>
          <w:b w:val="0"/>
        </w:rPr>
        <w:t xml:space="preserve">Site G88.3 sits within the Conservation Area and this should be reflected in the policy in order to ensure that an appropriate design and appearance is achieved.  </w:t>
      </w:r>
      <w:r w:rsidR="00A1151C">
        <w:t>MM50</w:t>
      </w:r>
      <w:r>
        <w:rPr>
          <w:b w:val="0"/>
        </w:rPr>
        <w:t xml:space="preserve"> is therefore recommended.</w:t>
      </w:r>
    </w:p>
    <w:p w:rsidR="000F3492" w:rsidRPr="004E3148" w:rsidRDefault="0040395B" w:rsidP="000F3492">
      <w:pPr>
        <w:pStyle w:val="DPDIntro"/>
        <w:widowControl w:val="0"/>
        <w:numPr>
          <w:ilvl w:val="0"/>
          <w:numId w:val="13"/>
        </w:numPr>
        <w:rPr>
          <w:b w:val="0"/>
        </w:rPr>
      </w:pPr>
      <w:r w:rsidRPr="004E3148">
        <w:rPr>
          <w:b w:val="0"/>
        </w:rPr>
        <w:t>The Council’s locations for growth</w:t>
      </w:r>
      <w:r w:rsidR="00CA0E00" w:rsidRPr="004E3148">
        <w:rPr>
          <w:b w:val="0"/>
        </w:rPr>
        <w:t xml:space="preserve"> in Stoke Ferry</w:t>
      </w:r>
      <w:r w:rsidRPr="004E3148">
        <w:rPr>
          <w:b w:val="0"/>
        </w:rPr>
        <w:t xml:space="preserve"> are sound.</w:t>
      </w:r>
    </w:p>
    <w:p w:rsidR="00E870A4" w:rsidRPr="00E870A4" w:rsidRDefault="00E870A4" w:rsidP="00E870A4">
      <w:pPr>
        <w:pStyle w:val="DPDIntro"/>
        <w:widowControl w:val="0"/>
        <w:rPr>
          <w:i/>
        </w:rPr>
      </w:pPr>
      <w:proofErr w:type="spellStart"/>
      <w:r w:rsidRPr="00E870A4">
        <w:rPr>
          <w:i/>
        </w:rPr>
        <w:t>Syderstone</w:t>
      </w:r>
      <w:proofErr w:type="spellEnd"/>
    </w:p>
    <w:p w:rsidR="00B61526" w:rsidRDefault="00E870A4" w:rsidP="00773F33">
      <w:pPr>
        <w:pStyle w:val="DPDIntro"/>
        <w:widowControl w:val="0"/>
        <w:numPr>
          <w:ilvl w:val="0"/>
          <w:numId w:val="13"/>
        </w:numPr>
        <w:rPr>
          <w:b w:val="0"/>
        </w:rPr>
      </w:pPr>
      <w:r w:rsidRPr="00773F33">
        <w:rPr>
          <w:b w:val="0"/>
        </w:rPr>
        <w:t>There is no site within the village that clearly ranks higher than others in terms of sustainability.  Two sites achieved similar scores (1026 and 753).  Site 753</w:t>
      </w:r>
      <w:r w:rsidR="007A5094" w:rsidRPr="00773F33">
        <w:rPr>
          <w:b w:val="0"/>
        </w:rPr>
        <w:t xml:space="preserve"> was selected by the Borough Council and I note that it placed weight </w:t>
      </w:r>
      <w:r w:rsidR="007A5094" w:rsidRPr="00773F33">
        <w:rPr>
          <w:b w:val="0"/>
        </w:rPr>
        <w:lastRenderedPageBreak/>
        <w:t xml:space="preserve">on the fact that the Parish Council did not support site 1026.  Development on the allocated site would complement the existing development on the other side of the road and would not appear as a significant intrusion into the countryside.  There is no evidence that </w:t>
      </w:r>
      <w:r w:rsidR="00773F33" w:rsidRPr="00773F33">
        <w:rPr>
          <w:b w:val="0"/>
        </w:rPr>
        <w:t>the development of the site</w:t>
      </w:r>
      <w:r w:rsidR="007A5094" w:rsidRPr="00773F33">
        <w:rPr>
          <w:b w:val="0"/>
        </w:rPr>
        <w:t xml:space="preserve"> would have a detrimental impact on the nearby </w:t>
      </w:r>
      <w:proofErr w:type="spellStart"/>
      <w:r w:rsidR="00773F33" w:rsidRPr="00773F33">
        <w:rPr>
          <w:b w:val="0"/>
        </w:rPr>
        <w:t>Syderstone</w:t>
      </w:r>
      <w:proofErr w:type="spellEnd"/>
      <w:r w:rsidR="00773F33" w:rsidRPr="00773F33">
        <w:rPr>
          <w:b w:val="0"/>
        </w:rPr>
        <w:t xml:space="preserve"> Common SSSI and I conclude that the Council’s approach is justified.</w:t>
      </w:r>
    </w:p>
    <w:p w:rsidR="00B61526" w:rsidRPr="00B61526" w:rsidRDefault="00B61526" w:rsidP="00B61526">
      <w:pPr>
        <w:pStyle w:val="DPDIntro"/>
        <w:widowControl w:val="0"/>
        <w:rPr>
          <w:i/>
        </w:rPr>
      </w:pPr>
      <w:r>
        <w:rPr>
          <w:i/>
        </w:rPr>
        <w:t>Ten Mile Bank</w:t>
      </w:r>
    </w:p>
    <w:p w:rsidR="00E870A4" w:rsidRPr="00773F33" w:rsidRDefault="00B56CED" w:rsidP="00773F33">
      <w:pPr>
        <w:pStyle w:val="DPDIntro"/>
        <w:widowControl w:val="0"/>
        <w:numPr>
          <w:ilvl w:val="0"/>
          <w:numId w:val="13"/>
        </w:numPr>
        <w:rPr>
          <w:b w:val="0"/>
        </w:rPr>
      </w:pPr>
      <w:r>
        <w:rPr>
          <w:b w:val="0"/>
        </w:rPr>
        <w:t>Ten Mile Bank is classified as a rural village</w:t>
      </w:r>
      <w:r w:rsidR="00C07204">
        <w:rPr>
          <w:b w:val="0"/>
        </w:rPr>
        <w:t xml:space="preserve"> and the Council is allocating land off Church </w:t>
      </w:r>
      <w:r w:rsidR="00BE00A6">
        <w:rPr>
          <w:b w:val="0"/>
        </w:rPr>
        <w:t>R</w:t>
      </w:r>
      <w:r w:rsidR="00C07204">
        <w:rPr>
          <w:b w:val="0"/>
        </w:rPr>
        <w:t xml:space="preserve">oad for </w:t>
      </w:r>
      <w:r w:rsidR="00CA50F7">
        <w:rPr>
          <w:b w:val="0"/>
        </w:rPr>
        <w:t xml:space="preserve">at least </w:t>
      </w:r>
      <w:r w:rsidR="00C07204">
        <w:rPr>
          <w:b w:val="0"/>
        </w:rPr>
        <w:t>5 dwellings and such an allocation is justified.  The SA confirms that there is little to differentiate between the three sites that were appraised but the allocated site would sit comfortably within the existing built environment and would result in the loss of less agricultural land. The allocation is sound</w:t>
      </w:r>
      <w:r w:rsidR="00BE00A6">
        <w:rPr>
          <w:b w:val="0"/>
        </w:rPr>
        <w:t xml:space="preserve"> and the site now benefits from planning permission</w:t>
      </w:r>
      <w:r w:rsidR="00C07204">
        <w:rPr>
          <w:b w:val="0"/>
        </w:rPr>
        <w:t>.</w:t>
      </w:r>
      <w:r w:rsidR="007A5094" w:rsidRPr="00773F33">
        <w:rPr>
          <w:b w:val="0"/>
        </w:rPr>
        <w:t xml:space="preserve"> </w:t>
      </w:r>
    </w:p>
    <w:p w:rsidR="00AD65C6" w:rsidRPr="00AD65C6" w:rsidRDefault="00AD65C6" w:rsidP="00AD65C6">
      <w:pPr>
        <w:pStyle w:val="DPDIntro"/>
        <w:widowControl w:val="0"/>
        <w:rPr>
          <w:i/>
        </w:rPr>
      </w:pPr>
      <w:r>
        <w:rPr>
          <w:i/>
        </w:rPr>
        <w:t>Terrington St Clement</w:t>
      </w:r>
      <w:r w:rsidR="00946BE3">
        <w:rPr>
          <w:i/>
        </w:rPr>
        <w:t xml:space="preserve"> </w:t>
      </w:r>
    </w:p>
    <w:p w:rsidR="00E561C8" w:rsidRDefault="00BF71EA" w:rsidP="00946BE3">
      <w:pPr>
        <w:pStyle w:val="DPDIntro"/>
        <w:widowControl w:val="0"/>
        <w:numPr>
          <w:ilvl w:val="0"/>
          <w:numId w:val="13"/>
        </w:numPr>
        <w:rPr>
          <w:b w:val="0"/>
        </w:rPr>
      </w:pPr>
      <w:r>
        <w:rPr>
          <w:b w:val="0"/>
        </w:rPr>
        <w:t xml:space="preserve">Three sites are allocated for housing in </w:t>
      </w:r>
      <w:r w:rsidR="00AD65C6">
        <w:rPr>
          <w:b w:val="0"/>
        </w:rPr>
        <w:t>T</w:t>
      </w:r>
      <w:r>
        <w:rPr>
          <w:b w:val="0"/>
        </w:rPr>
        <w:t>errington St Clement, which is a relatively large settlement that enjoys a range of services and facilities.  The allocations at Church Bank (policy G93.1) and King William Close (policy G93.2) are both centrally located</w:t>
      </w:r>
      <w:r w:rsidR="00A258C0">
        <w:rPr>
          <w:b w:val="0"/>
        </w:rPr>
        <w:t xml:space="preserve"> and their development would have little impact on the character of the village or its setting.  Satisfactory access can be achieved and although the north-east corner of the site at Church Bank falls within a medium flood risk area that is not considered to be a significant impediment to the development of the site as a whole.  Also the site is designated as high quality agricultural land but that is also the case for other potential housing sites around the village and bearing in mind the site is only 0.5ha in size and displays other elements of sustainability, I am satisfied that the Council’s approach is justified.</w:t>
      </w:r>
    </w:p>
    <w:p w:rsidR="00CA0E00" w:rsidRDefault="00CA0E00" w:rsidP="00946BE3">
      <w:pPr>
        <w:pStyle w:val="DPDIntro"/>
        <w:widowControl w:val="0"/>
        <w:numPr>
          <w:ilvl w:val="0"/>
          <w:numId w:val="13"/>
        </w:numPr>
        <w:rPr>
          <w:b w:val="0"/>
        </w:rPr>
      </w:pPr>
      <w:r>
        <w:rPr>
          <w:b w:val="0"/>
        </w:rPr>
        <w:t xml:space="preserve">In the interests of clarity and consistency it is recommended that reference is made in policy </w:t>
      </w:r>
      <w:r w:rsidR="00AE49BB">
        <w:rPr>
          <w:b w:val="0"/>
        </w:rPr>
        <w:t xml:space="preserve">G93.2 </w:t>
      </w:r>
      <w:r>
        <w:rPr>
          <w:b w:val="0"/>
        </w:rPr>
        <w:t>to the requirement for the submission of a F</w:t>
      </w:r>
      <w:r w:rsidR="00453360">
        <w:rPr>
          <w:b w:val="0"/>
        </w:rPr>
        <w:t>lood Risk Assessment</w:t>
      </w:r>
      <w:r w:rsidR="00AE49BB">
        <w:rPr>
          <w:b w:val="0"/>
        </w:rPr>
        <w:t xml:space="preserve"> (</w:t>
      </w:r>
      <w:r w:rsidR="00AE49BB">
        <w:t>MM51</w:t>
      </w:r>
      <w:r w:rsidR="00AE49BB">
        <w:rPr>
          <w:b w:val="0"/>
        </w:rPr>
        <w:t>).</w:t>
      </w:r>
    </w:p>
    <w:p w:rsidR="00946BE3" w:rsidRPr="00E561C8" w:rsidRDefault="00E561C8" w:rsidP="00946BE3">
      <w:pPr>
        <w:pStyle w:val="DPDIntro"/>
        <w:widowControl w:val="0"/>
        <w:numPr>
          <w:ilvl w:val="0"/>
          <w:numId w:val="13"/>
        </w:numPr>
        <w:rPr>
          <w:b w:val="0"/>
        </w:rPr>
      </w:pPr>
      <w:r w:rsidRPr="00E561C8">
        <w:rPr>
          <w:b w:val="0"/>
        </w:rPr>
        <w:t>In terms of the site to the west of Benn’s Lane (policy G93.3) this is classified as brownfield land and its development is supported by the Parish Council.  Although slightly further away from facilities it is</w:t>
      </w:r>
      <w:r w:rsidR="004E3148">
        <w:rPr>
          <w:b w:val="0"/>
        </w:rPr>
        <w:t xml:space="preserve"> proposed to be</w:t>
      </w:r>
      <w:r w:rsidRPr="00E561C8">
        <w:rPr>
          <w:b w:val="0"/>
        </w:rPr>
        <w:t xml:space="preserve"> linked by public footpath to the core of the village.  It can be concluded that this allocation is sound.</w:t>
      </w:r>
      <w:r w:rsidR="00A258C0" w:rsidRPr="00E561C8">
        <w:rPr>
          <w:b w:val="0"/>
        </w:rPr>
        <w:t xml:space="preserve"> </w:t>
      </w:r>
      <w:r w:rsidR="00BF71EA" w:rsidRPr="00E561C8">
        <w:rPr>
          <w:b w:val="0"/>
        </w:rPr>
        <w:t xml:space="preserve">  </w:t>
      </w:r>
    </w:p>
    <w:p w:rsidR="00946BE3" w:rsidRPr="00946BE3" w:rsidRDefault="00946BE3" w:rsidP="00946BE3">
      <w:pPr>
        <w:pStyle w:val="DPDIntro"/>
        <w:widowControl w:val="0"/>
        <w:rPr>
          <w:b w:val="0"/>
        </w:rPr>
      </w:pPr>
      <w:r w:rsidRPr="00946BE3">
        <w:rPr>
          <w:i/>
        </w:rPr>
        <w:t>Terrington St John</w:t>
      </w:r>
      <w:r>
        <w:rPr>
          <w:i/>
        </w:rPr>
        <w:t>/St John’s Highway/</w:t>
      </w:r>
      <w:r w:rsidRPr="00946BE3">
        <w:rPr>
          <w:i/>
        </w:rPr>
        <w:t>Tilney St Lawrence</w:t>
      </w:r>
    </w:p>
    <w:p w:rsidR="00B16585" w:rsidRDefault="00E561C8" w:rsidP="00B249BF">
      <w:pPr>
        <w:pStyle w:val="DPDIntro"/>
        <w:widowControl w:val="0"/>
        <w:numPr>
          <w:ilvl w:val="0"/>
          <w:numId w:val="13"/>
        </w:numPr>
        <w:rPr>
          <w:b w:val="0"/>
        </w:rPr>
      </w:pPr>
      <w:r>
        <w:rPr>
          <w:b w:val="0"/>
        </w:rPr>
        <w:t>The allocation for this group of settlements is at Terrington St John (policy G94.1) – to the east of School Road.</w:t>
      </w:r>
      <w:r w:rsidR="00A26A55">
        <w:rPr>
          <w:b w:val="0"/>
        </w:rPr>
        <w:t xml:space="preserve">  The site, which is adjacent to existing development, is close to the school and can be well integrated into the existing settlement.  Consideration of flood risk and drainage measures are a requirement of the policy, as is the replacement of the school playing field.  I understand that a planning application </w:t>
      </w:r>
      <w:r w:rsidR="00BE00A6">
        <w:rPr>
          <w:b w:val="0"/>
        </w:rPr>
        <w:t>t</w:t>
      </w:r>
      <w:r w:rsidR="00A26A55">
        <w:rPr>
          <w:b w:val="0"/>
        </w:rPr>
        <w:t>hat satisfactorily addresses these issues</w:t>
      </w:r>
      <w:r w:rsidR="00BE00A6">
        <w:rPr>
          <w:b w:val="0"/>
        </w:rPr>
        <w:t xml:space="preserve"> has been permitted</w:t>
      </w:r>
      <w:r w:rsidR="00A26A55">
        <w:rPr>
          <w:b w:val="0"/>
        </w:rPr>
        <w:t>.  The allocation is justified.</w:t>
      </w:r>
    </w:p>
    <w:p w:rsidR="00946BE3" w:rsidRPr="00843DAA" w:rsidRDefault="00B4245E" w:rsidP="00453360">
      <w:pPr>
        <w:pStyle w:val="DPDIntro"/>
        <w:widowControl w:val="0"/>
        <w:numPr>
          <w:ilvl w:val="0"/>
          <w:numId w:val="13"/>
        </w:numPr>
        <w:rPr>
          <w:b w:val="0"/>
        </w:rPr>
      </w:pPr>
      <w:r w:rsidRPr="00843DAA">
        <w:rPr>
          <w:b w:val="0"/>
        </w:rPr>
        <w:t xml:space="preserve">Planning permission has been granted on appeal for residential development </w:t>
      </w:r>
      <w:r w:rsidRPr="00843DAA">
        <w:rPr>
          <w:b w:val="0"/>
        </w:rPr>
        <w:lastRenderedPageBreak/>
        <w:t>on part of the KGB Transport site (site 779/780)</w:t>
      </w:r>
      <w:r>
        <w:rPr>
          <w:rStyle w:val="FootnoteReference"/>
          <w:b w:val="0"/>
        </w:rPr>
        <w:footnoteReference w:id="12"/>
      </w:r>
      <w:r w:rsidRPr="00843DAA">
        <w:rPr>
          <w:b w:val="0"/>
        </w:rPr>
        <w:t xml:space="preserve">.  The remainder of the </w:t>
      </w:r>
      <w:r w:rsidR="00BF19B6" w:rsidRPr="00843DAA">
        <w:rPr>
          <w:b w:val="0"/>
        </w:rPr>
        <w:t>land</w:t>
      </w:r>
      <w:r w:rsidRPr="00843DAA">
        <w:rPr>
          <w:b w:val="0"/>
        </w:rPr>
        <w:t xml:space="preserve"> within the curtilage of the depot</w:t>
      </w:r>
      <w:r w:rsidR="00BF19B6" w:rsidRPr="00843DAA">
        <w:rPr>
          <w:b w:val="0"/>
        </w:rPr>
        <w:t xml:space="preserve"> wraps round the site that has planning permission and </w:t>
      </w:r>
      <w:r w:rsidR="00F62465" w:rsidRPr="00843DAA">
        <w:rPr>
          <w:b w:val="0"/>
        </w:rPr>
        <w:t>this residual land</w:t>
      </w:r>
      <w:r w:rsidR="00BF19B6" w:rsidRPr="00843DAA">
        <w:rPr>
          <w:b w:val="0"/>
        </w:rPr>
        <w:t xml:space="preserve"> contributes little to the character and setting of the village and has no agricultural value.  </w:t>
      </w:r>
      <w:r w:rsidR="00F62465" w:rsidRPr="00843DAA">
        <w:rPr>
          <w:b w:val="0"/>
        </w:rPr>
        <w:t>Although not central to my deliberations I have attached some weight to the representor’s statement that without the development of the additional land there would be insufficient finance to relocate the business, which has no restrictions in terms of operating hours and vehicle movements and which my colleague</w:t>
      </w:r>
      <w:r w:rsidR="006839E3" w:rsidRPr="00843DAA">
        <w:rPr>
          <w:b w:val="0"/>
        </w:rPr>
        <w:t xml:space="preserve"> in her appeal decision</w:t>
      </w:r>
      <w:r w:rsidR="00C85436" w:rsidRPr="00843DAA">
        <w:rPr>
          <w:b w:val="0"/>
        </w:rPr>
        <w:t xml:space="preserve"> (referred to above)</w:t>
      </w:r>
      <w:r w:rsidR="006839E3" w:rsidRPr="00843DAA">
        <w:rPr>
          <w:b w:val="0"/>
        </w:rPr>
        <w:t xml:space="preserve"> concluded was not compatible with its residential surrounding.  I am satisfied that the allocation of the whole site for residential development is justified and in all other respects sound and therefore I recommend </w:t>
      </w:r>
      <w:r w:rsidR="006839E3">
        <w:t xml:space="preserve">MM </w:t>
      </w:r>
      <w:r w:rsidR="00C85436">
        <w:t>53</w:t>
      </w:r>
      <w:r w:rsidR="006839E3" w:rsidRPr="00843DAA">
        <w:rPr>
          <w:b w:val="0"/>
        </w:rPr>
        <w:t>.</w:t>
      </w:r>
      <w:r w:rsidR="00C85436" w:rsidRPr="00843DAA">
        <w:rPr>
          <w:b w:val="0"/>
        </w:rPr>
        <w:t xml:space="preserve">  In order to reflect this change it is recommended that paragraph G</w:t>
      </w:r>
      <w:r w:rsidR="00CA50F7">
        <w:rPr>
          <w:b w:val="0"/>
        </w:rPr>
        <w:t>.</w:t>
      </w:r>
      <w:r w:rsidR="00C85436" w:rsidRPr="00843DAA">
        <w:rPr>
          <w:b w:val="0"/>
        </w:rPr>
        <w:t>94.1 be updated to reflect the additional allocation (</w:t>
      </w:r>
      <w:r w:rsidR="00C85436">
        <w:t>MM52</w:t>
      </w:r>
      <w:r w:rsidR="00C85436" w:rsidRPr="00843DAA">
        <w:rPr>
          <w:b w:val="0"/>
        </w:rPr>
        <w:t>).</w:t>
      </w:r>
      <w:r w:rsidR="00A1151C">
        <w:t xml:space="preserve">  </w:t>
      </w:r>
      <w:r w:rsidR="00F62465" w:rsidRPr="00843DAA">
        <w:rPr>
          <w:b w:val="0"/>
        </w:rPr>
        <w:t xml:space="preserve"> </w:t>
      </w:r>
      <w:r w:rsidR="00A26A55" w:rsidRPr="00843DAA">
        <w:rPr>
          <w:b w:val="0"/>
        </w:rPr>
        <w:t xml:space="preserve"> </w:t>
      </w:r>
      <w:r w:rsidR="00946BE3" w:rsidRPr="00843DAA">
        <w:rPr>
          <w:i/>
        </w:rPr>
        <w:t xml:space="preserve"> </w:t>
      </w:r>
    </w:p>
    <w:p w:rsidR="00946BE3" w:rsidRDefault="00946BE3" w:rsidP="00946BE3">
      <w:pPr>
        <w:pStyle w:val="DPDIntro"/>
        <w:widowControl w:val="0"/>
        <w:rPr>
          <w:b w:val="0"/>
        </w:rPr>
      </w:pPr>
      <w:proofErr w:type="spellStart"/>
      <w:r>
        <w:rPr>
          <w:i/>
        </w:rPr>
        <w:t>Thornham</w:t>
      </w:r>
      <w:proofErr w:type="spellEnd"/>
    </w:p>
    <w:p w:rsidR="00946BE3" w:rsidRDefault="00DF24C2" w:rsidP="00B249BF">
      <w:pPr>
        <w:pStyle w:val="DPDIntro"/>
        <w:widowControl w:val="0"/>
        <w:numPr>
          <w:ilvl w:val="0"/>
          <w:numId w:val="13"/>
        </w:numPr>
        <w:rPr>
          <w:b w:val="0"/>
        </w:rPr>
      </w:pPr>
      <w:r>
        <w:rPr>
          <w:b w:val="0"/>
        </w:rPr>
        <w:t xml:space="preserve">The Council has not allocated any land for housing at </w:t>
      </w:r>
      <w:proofErr w:type="spellStart"/>
      <w:r>
        <w:rPr>
          <w:b w:val="0"/>
        </w:rPr>
        <w:t>Thornham</w:t>
      </w:r>
      <w:proofErr w:type="spellEnd"/>
      <w:r>
        <w:rPr>
          <w:b w:val="0"/>
        </w:rPr>
        <w:t xml:space="preserve"> which lies within the Norfolk Coast AONB.  Site THM1 was promoted at the hearings but there were objections from the County </w:t>
      </w:r>
      <w:r w:rsidR="000D15E4">
        <w:rPr>
          <w:b w:val="0"/>
        </w:rPr>
        <w:t>H</w:t>
      </w:r>
      <w:r>
        <w:rPr>
          <w:b w:val="0"/>
        </w:rPr>
        <w:t>ighways Authority and the Norfolk Coast (AONB) Partnership.</w:t>
      </w:r>
      <w:r w:rsidR="000D15E4">
        <w:rPr>
          <w:b w:val="0"/>
        </w:rPr>
        <w:t xml:space="preserve">  The representation</w:t>
      </w:r>
      <w:r w:rsidR="00714246">
        <w:rPr>
          <w:b w:val="0"/>
        </w:rPr>
        <w:t xml:space="preserve"> from the objector</w:t>
      </w:r>
      <w:r w:rsidR="000D15E4">
        <w:rPr>
          <w:b w:val="0"/>
        </w:rPr>
        <w:t xml:space="preserve"> included</w:t>
      </w:r>
      <w:r w:rsidR="00714246">
        <w:rPr>
          <w:b w:val="0"/>
        </w:rPr>
        <w:t xml:space="preserve"> a</w:t>
      </w:r>
      <w:r w:rsidR="000D15E4">
        <w:rPr>
          <w:b w:val="0"/>
        </w:rPr>
        <w:t xml:space="preserve"> </w:t>
      </w:r>
      <w:r w:rsidR="00F70D9D">
        <w:rPr>
          <w:b w:val="0"/>
        </w:rPr>
        <w:t xml:space="preserve">landscape and visual survey, a Transport Note and a Highway Improvement and Access Plan.  </w:t>
      </w:r>
      <w:r w:rsidR="00714246">
        <w:rPr>
          <w:b w:val="0"/>
        </w:rPr>
        <w:t>However, h</w:t>
      </w:r>
      <w:r w:rsidR="00F70D9D">
        <w:rPr>
          <w:b w:val="0"/>
        </w:rPr>
        <w:t xml:space="preserve">aving visited the site I share the concerns of the Partnership about the visual implications of development on the </w:t>
      </w:r>
      <w:r w:rsidR="00714246">
        <w:rPr>
          <w:b w:val="0"/>
        </w:rPr>
        <w:t xml:space="preserve">land and the loss of the visual link between the village and the marshes to the north.  This concern is strengthened by the requirement to </w:t>
      </w:r>
      <w:r w:rsidR="00F70D9D">
        <w:rPr>
          <w:b w:val="0"/>
        </w:rPr>
        <w:t>attach great weight to conserving landscape and scenic beauty in AONBs.  I am also unable to conclude that adequate footway links could be provided</w:t>
      </w:r>
      <w:r w:rsidR="00714246">
        <w:rPr>
          <w:b w:val="0"/>
        </w:rPr>
        <w:t xml:space="preserve"> and it was confirmed at the hearing that the County Highways Authority maintains its objection.</w:t>
      </w:r>
    </w:p>
    <w:p w:rsidR="000F3492" w:rsidRPr="000F3492" w:rsidRDefault="00714246" w:rsidP="000F3492">
      <w:pPr>
        <w:pStyle w:val="DPDIntro"/>
        <w:widowControl w:val="0"/>
        <w:numPr>
          <w:ilvl w:val="0"/>
          <w:numId w:val="13"/>
        </w:numPr>
        <w:rPr>
          <w:i/>
        </w:rPr>
      </w:pPr>
      <w:r w:rsidRPr="000F3492">
        <w:rPr>
          <w:b w:val="0"/>
        </w:rPr>
        <w:t xml:space="preserve">It </w:t>
      </w:r>
      <w:r w:rsidR="00453360" w:rsidRPr="000F3492">
        <w:rPr>
          <w:b w:val="0"/>
        </w:rPr>
        <w:t xml:space="preserve">has not been </w:t>
      </w:r>
      <w:r w:rsidRPr="000F3492">
        <w:rPr>
          <w:b w:val="0"/>
        </w:rPr>
        <w:t xml:space="preserve">satisfactorily demonstrated that the allocation of any site at </w:t>
      </w:r>
      <w:proofErr w:type="spellStart"/>
      <w:r w:rsidRPr="000F3492">
        <w:rPr>
          <w:b w:val="0"/>
        </w:rPr>
        <w:t>Thornham</w:t>
      </w:r>
      <w:proofErr w:type="spellEnd"/>
      <w:r w:rsidRPr="000F3492">
        <w:rPr>
          <w:b w:val="0"/>
        </w:rPr>
        <w:t xml:space="preserve"> would be sound and therefore the Council’s restrictive approach is appropriate.</w:t>
      </w:r>
    </w:p>
    <w:p w:rsidR="00B61526" w:rsidRPr="000F3492" w:rsidRDefault="00B61526" w:rsidP="000F3492">
      <w:pPr>
        <w:pStyle w:val="DPDIntro"/>
        <w:widowControl w:val="0"/>
        <w:rPr>
          <w:i/>
        </w:rPr>
      </w:pPr>
      <w:r w:rsidRPr="000F3492">
        <w:rPr>
          <w:i/>
        </w:rPr>
        <w:t>Three Holes</w:t>
      </w:r>
    </w:p>
    <w:p w:rsidR="00B61526" w:rsidRDefault="00CC6B3F" w:rsidP="00B249BF">
      <w:pPr>
        <w:pStyle w:val="DPDIntro"/>
        <w:widowControl w:val="0"/>
        <w:numPr>
          <w:ilvl w:val="0"/>
          <w:numId w:val="13"/>
        </w:numPr>
        <w:rPr>
          <w:b w:val="0"/>
        </w:rPr>
      </w:pPr>
      <w:r>
        <w:rPr>
          <w:b w:val="0"/>
        </w:rPr>
        <w:t>Concerns were expressed by a respondent regarding the drainage implications of development o</w:t>
      </w:r>
      <w:r w:rsidR="00690FB0">
        <w:rPr>
          <w:b w:val="0"/>
        </w:rPr>
        <w:t>n</w:t>
      </w:r>
      <w:r>
        <w:rPr>
          <w:b w:val="0"/>
        </w:rPr>
        <w:t xml:space="preserve"> the allocated site at Three Holes </w:t>
      </w:r>
      <w:r w:rsidR="00690FB0">
        <w:rPr>
          <w:b w:val="0"/>
        </w:rPr>
        <w:t>(</w:t>
      </w:r>
      <w:r w:rsidR="00CA50F7">
        <w:rPr>
          <w:b w:val="0"/>
        </w:rPr>
        <w:t xml:space="preserve">at least </w:t>
      </w:r>
      <w:r>
        <w:rPr>
          <w:b w:val="0"/>
        </w:rPr>
        <w:t xml:space="preserve">5 dwellings </w:t>
      </w:r>
      <w:r w:rsidR="00690FB0">
        <w:rPr>
          <w:b w:val="0"/>
        </w:rPr>
        <w:t xml:space="preserve">- </w:t>
      </w:r>
      <w:r>
        <w:rPr>
          <w:b w:val="0"/>
        </w:rPr>
        <w:t>policy G96.1).  The Council, however, in the Statement on Issue 37, satisfactorily summarises the consultation that has been undertaken on the matter and I am satisfied that an appropriate form of surface water drainage can be achieved.  I note that there is no objection to the allocation from the Environment Agency</w:t>
      </w:r>
      <w:r w:rsidR="00690FB0">
        <w:rPr>
          <w:b w:val="0"/>
        </w:rPr>
        <w:t xml:space="preserve"> and that the policy requires the submission of a flood risk Assessment (to include surface water drainage)</w:t>
      </w:r>
      <w:r>
        <w:rPr>
          <w:b w:val="0"/>
        </w:rPr>
        <w:t>.</w:t>
      </w:r>
      <w:r w:rsidR="00690FB0">
        <w:rPr>
          <w:b w:val="0"/>
        </w:rPr>
        <w:t xml:space="preserve">  The allocation is justified.</w:t>
      </w:r>
      <w:r>
        <w:rPr>
          <w:b w:val="0"/>
        </w:rPr>
        <w:t xml:space="preserve"> </w:t>
      </w:r>
    </w:p>
    <w:p w:rsidR="00AD65C6" w:rsidRDefault="00AD65C6" w:rsidP="00AD65C6">
      <w:pPr>
        <w:pStyle w:val="DPDIntro"/>
        <w:widowControl w:val="0"/>
        <w:rPr>
          <w:b w:val="0"/>
        </w:rPr>
      </w:pPr>
      <w:proofErr w:type="spellStart"/>
      <w:r w:rsidRPr="00AD65C6">
        <w:rPr>
          <w:i/>
        </w:rPr>
        <w:t>Upwell</w:t>
      </w:r>
      <w:proofErr w:type="spellEnd"/>
      <w:r w:rsidRPr="00AD65C6">
        <w:rPr>
          <w:i/>
        </w:rPr>
        <w:t xml:space="preserve"> with </w:t>
      </w:r>
      <w:proofErr w:type="spellStart"/>
      <w:r w:rsidRPr="00AD65C6">
        <w:rPr>
          <w:i/>
        </w:rPr>
        <w:t>Outwell</w:t>
      </w:r>
      <w:proofErr w:type="spellEnd"/>
    </w:p>
    <w:p w:rsidR="00C85436" w:rsidRDefault="00081DCD" w:rsidP="00B249BF">
      <w:pPr>
        <w:pStyle w:val="DPDIntro"/>
        <w:widowControl w:val="0"/>
        <w:numPr>
          <w:ilvl w:val="0"/>
          <w:numId w:val="13"/>
        </w:numPr>
        <w:rPr>
          <w:b w:val="0"/>
        </w:rPr>
      </w:pPr>
      <w:r>
        <w:rPr>
          <w:b w:val="0"/>
        </w:rPr>
        <w:t xml:space="preserve">Upwell and </w:t>
      </w:r>
      <w:proofErr w:type="spellStart"/>
      <w:r>
        <w:rPr>
          <w:b w:val="0"/>
        </w:rPr>
        <w:t>Outwell</w:t>
      </w:r>
      <w:proofErr w:type="spellEnd"/>
      <w:r>
        <w:rPr>
          <w:b w:val="0"/>
        </w:rPr>
        <w:t xml:space="preserve"> are long linear villages which enjoy a reasonable range of facilities and services.  </w:t>
      </w:r>
      <w:r w:rsidR="00A26A55" w:rsidRPr="00A26A55">
        <w:rPr>
          <w:b w:val="0"/>
        </w:rPr>
        <w:t xml:space="preserve">A very large number of sites were </w:t>
      </w:r>
      <w:proofErr w:type="gramStart"/>
      <w:r w:rsidR="00A26A55" w:rsidRPr="00A26A55">
        <w:rPr>
          <w:b w:val="0"/>
        </w:rPr>
        <w:t>appraised</w:t>
      </w:r>
      <w:proofErr w:type="gramEnd"/>
      <w:r w:rsidR="00A26A55" w:rsidRPr="00A26A55">
        <w:rPr>
          <w:b w:val="0"/>
        </w:rPr>
        <w:t xml:space="preserve"> and consequently many of them display similar characteristics</w:t>
      </w:r>
      <w:r>
        <w:rPr>
          <w:b w:val="0"/>
        </w:rPr>
        <w:t>.  The Council concluded that 6 sites should be allocated.</w:t>
      </w:r>
    </w:p>
    <w:p w:rsidR="0029664D" w:rsidRDefault="00C85436" w:rsidP="00B249BF">
      <w:pPr>
        <w:pStyle w:val="DPDIntro"/>
        <w:widowControl w:val="0"/>
        <w:numPr>
          <w:ilvl w:val="0"/>
          <w:numId w:val="13"/>
        </w:numPr>
        <w:rPr>
          <w:b w:val="0"/>
        </w:rPr>
      </w:pPr>
      <w:r>
        <w:rPr>
          <w:b w:val="0"/>
        </w:rPr>
        <w:lastRenderedPageBreak/>
        <w:t xml:space="preserve">The site to the north-west of </w:t>
      </w:r>
      <w:proofErr w:type="spellStart"/>
      <w:r>
        <w:rPr>
          <w:b w:val="0"/>
        </w:rPr>
        <w:t>Townley</w:t>
      </w:r>
      <w:proofErr w:type="spellEnd"/>
      <w:r>
        <w:rPr>
          <w:b w:val="0"/>
        </w:rPr>
        <w:t xml:space="preserve"> Close (G104.1) was proposed to accommodate 15 dwellings.  However, on reconsideration of the character and density of nearby development the Council has concluded that only 5 dwellings could be satisfactorily accommodated on the site</w:t>
      </w:r>
      <w:r w:rsidR="0029664D">
        <w:rPr>
          <w:b w:val="0"/>
        </w:rPr>
        <w:t>.  H</w:t>
      </w:r>
      <w:r>
        <w:rPr>
          <w:b w:val="0"/>
        </w:rPr>
        <w:t xml:space="preserve">aving </w:t>
      </w:r>
      <w:r w:rsidR="0029664D">
        <w:rPr>
          <w:b w:val="0"/>
        </w:rPr>
        <w:t>visited the locality</w:t>
      </w:r>
      <w:r>
        <w:rPr>
          <w:b w:val="0"/>
        </w:rPr>
        <w:t xml:space="preserve"> I agree</w:t>
      </w:r>
      <w:r w:rsidR="0029664D">
        <w:rPr>
          <w:b w:val="0"/>
        </w:rPr>
        <w:t xml:space="preserve"> and recommend </w:t>
      </w:r>
      <w:r w:rsidR="0029664D">
        <w:t>MM54</w:t>
      </w:r>
      <w:r w:rsidR="0029664D">
        <w:rPr>
          <w:b w:val="0"/>
        </w:rPr>
        <w:t xml:space="preserve"> accordingly.</w:t>
      </w:r>
    </w:p>
    <w:p w:rsidR="0029664D" w:rsidRDefault="0029664D" w:rsidP="00B249BF">
      <w:pPr>
        <w:pStyle w:val="DPDIntro"/>
        <w:widowControl w:val="0"/>
        <w:numPr>
          <w:ilvl w:val="0"/>
          <w:numId w:val="13"/>
        </w:numPr>
        <w:rPr>
          <w:b w:val="0"/>
        </w:rPr>
      </w:pPr>
      <w:r>
        <w:rPr>
          <w:b w:val="0"/>
        </w:rPr>
        <w:t xml:space="preserve">The site at Low Side (policy G104.3) is located adjacent to the </w:t>
      </w:r>
      <w:r w:rsidR="00453360">
        <w:rPr>
          <w:b w:val="0"/>
        </w:rPr>
        <w:t>C</w:t>
      </w:r>
      <w:r>
        <w:rPr>
          <w:b w:val="0"/>
        </w:rPr>
        <w:t xml:space="preserve">onservation </w:t>
      </w:r>
      <w:r w:rsidR="00453360">
        <w:rPr>
          <w:b w:val="0"/>
        </w:rPr>
        <w:t>A</w:t>
      </w:r>
      <w:r>
        <w:rPr>
          <w:b w:val="0"/>
        </w:rPr>
        <w:t>rea (CA) and the Council is keen to ensure that any development on the site responds appropriately to the CA.  To this end it is recommended that an additional requirement is added to the policy in order to secure an appropriate design and appearance (</w:t>
      </w:r>
      <w:r>
        <w:t>MM55</w:t>
      </w:r>
      <w:r>
        <w:rPr>
          <w:b w:val="0"/>
        </w:rPr>
        <w:t>).  In order to achieve consistency throughout the SADMPP the Council is proposing to amend criterion 4 of policy G104.4 (land off St Peter’s Road) to make reference to the provision of sustainable drainage measures.  Such an approach is sound and is therefore recommended (</w:t>
      </w:r>
      <w:r>
        <w:t>MM56</w:t>
      </w:r>
      <w:r>
        <w:rPr>
          <w:b w:val="0"/>
        </w:rPr>
        <w:t>).</w:t>
      </w:r>
    </w:p>
    <w:p w:rsidR="00F678AB" w:rsidRDefault="00081DCD" w:rsidP="00B249BF">
      <w:pPr>
        <w:pStyle w:val="DPDIntro"/>
        <w:widowControl w:val="0"/>
        <w:numPr>
          <w:ilvl w:val="0"/>
          <w:numId w:val="13"/>
        </w:numPr>
        <w:rPr>
          <w:b w:val="0"/>
        </w:rPr>
      </w:pPr>
      <w:r>
        <w:rPr>
          <w:b w:val="0"/>
        </w:rPr>
        <w:t>In general</w:t>
      </w:r>
      <w:r w:rsidR="00C85436">
        <w:rPr>
          <w:b w:val="0"/>
        </w:rPr>
        <w:t xml:space="preserve"> </w:t>
      </w:r>
      <w:r>
        <w:rPr>
          <w:b w:val="0"/>
        </w:rPr>
        <w:t xml:space="preserve">I consider that the allocated sites could be </w:t>
      </w:r>
      <w:r w:rsidR="00CA50F7">
        <w:rPr>
          <w:b w:val="0"/>
        </w:rPr>
        <w:t xml:space="preserve">assimilated </w:t>
      </w:r>
      <w:r>
        <w:rPr>
          <w:b w:val="0"/>
        </w:rPr>
        <w:t>well into the existing built environment and would not detract from the setting of the villages.  Satisfactory access can be achieved and where necessary the policies require due consideration to be given to issues of drainage/sewerage and the character and appearance of the development.</w:t>
      </w:r>
      <w:r w:rsidR="00F678AB">
        <w:rPr>
          <w:b w:val="0"/>
        </w:rPr>
        <w:t xml:space="preserve">  The allocated sites would meet the identified housing requirement for the settlements.</w:t>
      </w:r>
    </w:p>
    <w:p w:rsidR="00FB5925" w:rsidRPr="00FB5925" w:rsidRDefault="00F678AB" w:rsidP="0029664D">
      <w:pPr>
        <w:pStyle w:val="DPDIntro"/>
        <w:widowControl w:val="0"/>
        <w:numPr>
          <w:ilvl w:val="0"/>
          <w:numId w:val="13"/>
        </w:numPr>
        <w:rPr>
          <w:b w:val="0"/>
        </w:rPr>
      </w:pPr>
      <w:r w:rsidRPr="00FB5925">
        <w:rPr>
          <w:b w:val="0"/>
        </w:rPr>
        <w:t>At the hearing I requested that the Council reconsider</w:t>
      </w:r>
      <w:r w:rsidR="00FB5925" w:rsidRPr="00FB5925">
        <w:rPr>
          <w:b w:val="0"/>
        </w:rPr>
        <w:t>s</w:t>
      </w:r>
      <w:r w:rsidRPr="00FB5925">
        <w:rPr>
          <w:b w:val="0"/>
        </w:rPr>
        <w:t xml:space="preserve"> the site at Lode House</w:t>
      </w:r>
      <w:r w:rsidR="009F2E7D" w:rsidRPr="00FB5925">
        <w:rPr>
          <w:b w:val="0"/>
        </w:rPr>
        <w:t xml:space="preserve"> (site 82)</w:t>
      </w:r>
      <w:r w:rsidRPr="00FB5925">
        <w:rPr>
          <w:b w:val="0"/>
        </w:rPr>
        <w:t xml:space="preserve"> </w:t>
      </w:r>
      <w:r w:rsidR="009F2E7D" w:rsidRPr="00FB5925">
        <w:rPr>
          <w:b w:val="0"/>
        </w:rPr>
        <w:t>and in response Submission FW26</w:t>
      </w:r>
      <w:r w:rsidRPr="00FB5925">
        <w:rPr>
          <w:b w:val="0"/>
        </w:rPr>
        <w:t xml:space="preserve"> was prepared.  This explains</w:t>
      </w:r>
      <w:r w:rsidR="009F2E7D" w:rsidRPr="00FB5925">
        <w:rPr>
          <w:b w:val="0"/>
        </w:rPr>
        <w:t xml:space="preserve"> the Council’s approach regarding the allocation of the site and in particular highlights the concerns regarding the effect of</w:t>
      </w:r>
      <w:r w:rsidR="00FB5925" w:rsidRPr="00FB5925">
        <w:rPr>
          <w:b w:val="0"/>
        </w:rPr>
        <w:t xml:space="preserve"> development on the character and appearance of the </w:t>
      </w:r>
      <w:r w:rsidR="00453360">
        <w:rPr>
          <w:b w:val="0"/>
        </w:rPr>
        <w:t>CA</w:t>
      </w:r>
      <w:r w:rsidR="00FB5925" w:rsidRPr="00FB5925">
        <w:rPr>
          <w:b w:val="0"/>
        </w:rPr>
        <w:t xml:space="preserve">.  Having seen the site I consider the Council’s concerns to be justified.  In the same document the Council satisfactorily confirms the reasoning behind the rejection of site 607, particularly in terms of the distance from the site to a number of local services and facilities.  </w:t>
      </w:r>
    </w:p>
    <w:p w:rsidR="00FB5925" w:rsidRPr="0029664D" w:rsidRDefault="00FB5925" w:rsidP="0029664D">
      <w:pPr>
        <w:pStyle w:val="DPDIntro"/>
        <w:widowControl w:val="0"/>
        <w:numPr>
          <w:ilvl w:val="0"/>
          <w:numId w:val="13"/>
        </w:numPr>
        <w:rPr>
          <w:b w:val="0"/>
        </w:rPr>
      </w:pPr>
      <w:r>
        <w:rPr>
          <w:b w:val="0"/>
        </w:rPr>
        <w:t xml:space="preserve">I am satisfied that the Council’s approach to housing allocations in Upwell with </w:t>
      </w:r>
      <w:proofErr w:type="spellStart"/>
      <w:r>
        <w:rPr>
          <w:b w:val="0"/>
        </w:rPr>
        <w:t>Outwell</w:t>
      </w:r>
      <w:proofErr w:type="spellEnd"/>
      <w:r>
        <w:rPr>
          <w:b w:val="0"/>
        </w:rPr>
        <w:t xml:space="preserve"> (as modified) is sound.</w:t>
      </w:r>
    </w:p>
    <w:p w:rsidR="00A90348" w:rsidRPr="00A90348" w:rsidRDefault="00A90348" w:rsidP="00A90348">
      <w:pPr>
        <w:pStyle w:val="DPDIntro"/>
        <w:widowControl w:val="0"/>
        <w:rPr>
          <w:i/>
        </w:rPr>
      </w:pPr>
      <w:r>
        <w:rPr>
          <w:i/>
        </w:rPr>
        <w:t>Walpole Cross</w:t>
      </w:r>
      <w:r w:rsidR="00CA50F7">
        <w:rPr>
          <w:i/>
        </w:rPr>
        <w:t xml:space="preserve"> K</w:t>
      </w:r>
      <w:r>
        <w:rPr>
          <w:i/>
        </w:rPr>
        <w:t>eys</w:t>
      </w:r>
    </w:p>
    <w:p w:rsidR="009263C6" w:rsidRDefault="00A90348" w:rsidP="00B249BF">
      <w:pPr>
        <w:pStyle w:val="DPDIntro"/>
        <w:widowControl w:val="0"/>
        <w:numPr>
          <w:ilvl w:val="0"/>
          <w:numId w:val="13"/>
        </w:numPr>
        <w:rPr>
          <w:b w:val="0"/>
        </w:rPr>
      </w:pPr>
      <w:r>
        <w:rPr>
          <w:b w:val="0"/>
        </w:rPr>
        <w:t xml:space="preserve">The Council has concluded that there are no sustainable sites in the village that could be allocated.  In some respects </w:t>
      </w:r>
      <w:r w:rsidR="009263C6">
        <w:rPr>
          <w:b w:val="0"/>
        </w:rPr>
        <w:t>the site of the former food processing factory (s</w:t>
      </w:r>
      <w:r>
        <w:rPr>
          <w:b w:val="0"/>
        </w:rPr>
        <w:t>ite 1212</w:t>
      </w:r>
      <w:r w:rsidR="009263C6">
        <w:rPr>
          <w:b w:val="0"/>
        </w:rPr>
        <w:t>)</w:t>
      </w:r>
      <w:r>
        <w:rPr>
          <w:b w:val="0"/>
        </w:rPr>
        <w:t xml:space="preserve"> scored higher than other options but the allocation of this land would result in the loss of </w:t>
      </w:r>
      <w:r w:rsidR="009263C6">
        <w:rPr>
          <w:b w:val="0"/>
        </w:rPr>
        <w:t xml:space="preserve">former </w:t>
      </w:r>
      <w:r>
        <w:rPr>
          <w:b w:val="0"/>
        </w:rPr>
        <w:t xml:space="preserve">employment land, which would be contrary to CS policy CS10.  </w:t>
      </w:r>
      <w:r w:rsidR="009263C6">
        <w:rPr>
          <w:b w:val="0"/>
        </w:rPr>
        <w:t>I share the views of the owner’s Agent that a future use for this derelict site in the centre of the village needs to be secured.  However, the Council in FW27 expresses concerns regarding lack of evidence regarding the potential for a ‘new’ employment use on the site; the potential scale of any redevelopment for residential purposes; and issues of delivery and viability.</w:t>
      </w:r>
    </w:p>
    <w:p w:rsidR="00A26A55" w:rsidRPr="00A26A55" w:rsidRDefault="009263C6" w:rsidP="00B249BF">
      <w:pPr>
        <w:pStyle w:val="DPDIntro"/>
        <w:widowControl w:val="0"/>
        <w:numPr>
          <w:ilvl w:val="0"/>
          <w:numId w:val="13"/>
        </w:numPr>
        <w:rPr>
          <w:b w:val="0"/>
        </w:rPr>
      </w:pPr>
      <w:r>
        <w:rPr>
          <w:b w:val="0"/>
        </w:rPr>
        <w:t>I agree with the Council that</w:t>
      </w:r>
      <w:r w:rsidR="00FA6236">
        <w:rPr>
          <w:b w:val="0"/>
        </w:rPr>
        <w:t xml:space="preserve">, with a number of outstanding issues, the allocation of this site could not currently be justified.  </w:t>
      </w:r>
      <w:proofErr w:type="gramStart"/>
      <w:r w:rsidR="00FA6236">
        <w:rPr>
          <w:b w:val="0"/>
        </w:rPr>
        <w:t>Nevertheless</w:t>
      </w:r>
      <w:proofErr w:type="gramEnd"/>
      <w:r w:rsidR="00FA6236">
        <w:rPr>
          <w:b w:val="0"/>
        </w:rPr>
        <w:t xml:space="preserve"> it is important that the Council’s approach to the future of what is a very significant site in the context of Walpole Cross Keys, is clear.  It is therefore noted that the Council is proposing to include (as a minor change) a paragraph </w:t>
      </w:r>
      <w:r w:rsidR="00FA6236">
        <w:rPr>
          <w:b w:val="0"/>
        </w:rPr>
        <w:lastRenderedPageBreak/>
        <w:t>in the supporting text which explains the position</w:t>
      </w:r>
      <w:r w:rsidR="00B310B1">
        <w:rPr>
          <w:b w:val="0"/>
        </w:rPr>
        <w:t>.</w:t>
      </w:r>
      <w:r>
        <w:rPr>
          <w:b w:val="0"/>
        </w:rPr>
        <w:t xml:space="preserve"> </w:t>
      </w:r>
      <w:r w:rsidR="00081DCD">
        <w:rPr>
          <w:b w:val="0"/>
        </w:rPr>
        <w:t xml:space="preserve"> </w:t>
      </w:r>
    </w:p>
    <w:p w:rsidR="00AD65C6" w:rsidRPr="00AD65C6" w:rsidRDefault="00AD65C6" w:rsidP="00AD65C6">
      <w:pPr>
        <w:pStyle w:val="DPDIntro"/>
        <w:widowControl w:val="0"/>
        <w:rPr>
          <w:i/>
        </w:rPr>
      </w:pPr>
      <w:r>
        <w:rPr>
          <w:i/>
        </w:rPr>
        <w:t xml:space="preserve">Walpole Highway  </w:t>
      </w:r>
    </w:p>
    <w:p w:rsidR="00453360" w:rsidRPr="00843DAA" w:rsidRDefault="00A90348" w:rsidP="00453360">
      <w:pPr>
        <w:pStyle w:val="DPDIntro"/>
        <w:widowControl w:val="0"/>
        <w:numPr>
          <w:ilvl w:val="0"/>
          <w:numId w:val="13"/>
        </w:numPr>
        <w:rPr>
          <w:b w:val="0"/>
        </w:rPr>
      </w:pPr>
      <w:r w:rsidRPr="00843DAA">
        <w:rPr>
          <w:b w:val="0"/>
        </w:rPr>
        <w:t xml:space="preserve">A site east of Hall Road is allocated for </w:t>
      </w:r>
      <w:r w:rsidR="00CA50F7">
        <w:rPr>
          <w:b w:val="0"/>
        </w:rPr>
        <w:t xml:space="preserve">at least </w:t>
      </w:r>
      <w:r w:rsidRPr="00843DAA">
        <w:rPr>
          <w:b w:val="0"/>
        </w:rPr>
        <w:t xml:space="preserve">10 dwellings (policy G106.1).  </w:t>
      </w:r>
      <w:r w:rsidR="00352D17" w:rsidRPr="00843DAA">
        <w:rPr>
          <w:b w:val="0"/>
        </w:rPr>
        <w:t>It is within walking distance of services and facilities and the policy requires the provision of a safe access and footway improvements.  A  Flood Risk Assessment will be required.  The development would assimilate well into the existing settlement and although it would result in the loss of agricultural land this is a characteristic common to many of the options considered by the Council and in circumstances such as are found here, such a loss is almost inevitable.  In any event the site scores well in most other respects and taking all matters into account is justified.</w:t>
      </w:r>
    </w:p>
    <w:p w:rsidR="00DC4273" w:rsidRDefault="00DC4273" w:rsidP="00DC4273">
      <w:pPr>
        <w:pStyle w:val="DPDIntro"/>
        <w:widowControl w:val="0"/>
        <w:rPr>
          <w:b w:val="0"/>
        </w:rPr>
      </w:pPr>
      <w:r>
        <w:rPr>
          <w:i/>
        </w:rPr>
        <w:t>Walpole St Peter/Walpole St Andrew/Walpole Marsh</w:t>
      </w:r>
    </w:p>
    <w:p w:rsidR="00DC4273" w:rsidRDefault="00CC4C20" w:rsidP="00B249BF">
      <w:pPr>
        <w:pStyle w:val="DPDIntro"/>
        <w:widowControl w:val="0"/>
        <w:numPr>
          <w:ilvl w:val="0"/>
          <w:numId w:val="13"/>
        </w:numPr>
        <w:rPr>
          <w:b w:val="0"/>
        </w:rPr>
      </w:pPr>
      <w:r>
        <w:rPr>
          <w:b w:val="0"/>
        </w:rPr>
        <w:t>Many site options were considered and, as in many other settlements, there is often little to differentiate one</w:t>
      </w:r>
      <w:r w:rsidR="005E1F45">
        <w:rPr>
          <w:b w:val="0"/>
        </w:rPr>
        <w:t xml:space="preserve"> site</w:t>
      </w:r>
      <w:r>
        <w:rPr>
          <w:b w:val="0"/>
        </w:rPr>
        <w:t xml:space="preserve"> from another.  One of the main reasons for the selection of the t</w:t>
      </w:r>
      <w:r w:rsidR="00352D17">
        <w:rPr>
          <w:b w:val="0"/>
        </w:rPr>
        <w:t>wo sites</w:t>
      </w:r>
      <w:r>
        <w:rPr>
          <w:b w:val="0"/>
        </w:rPr>
        <w:t xml:space="preserve"> that</w:t>
      </w:r>
      <w:r w:rsidR="00352D17">
        <w:rPr>
          <w:b w:val="0"/>
        </w:rPr>
        <w:t xml:space="preserve"> are allocated at Walpole St Peter (policies G109.1 and G109.2)</w:t>
      </w:r>
      <w:r>
        <w:rPr>
          <w:b w:val="0"/>
        </w:rPr>
        <w:t xml:space="preserve"> is their </w:t>
      </w:r>
      <w:r w:rsidR="005E1F45">
        <w:rPr>
          <w:b w:val="0"/>
        </w:rPr>
        <w:t xml:space="preserve">comparatively </w:t>
      </w:r>
      <w:r>
        <w:rPr>
          <w:b w:val="0"/>
        </w:rPr>
        <w:t>minimal visual impact.  Both sites could loosely be described as ‘infill’ and would form the natural continuation of exi</w:t>
      </w:r>
      <w:r w:rsidR="004E3148">
        <w:rPr>
          <w:b w:val="0"/>
        </w:rPr>
        <w:t>s</w:t>
      </w:r>
      <w:r>
        <w:rPr>
          <w:b w:val="0"/>
        </w:rPr>
        <w:t>ting development</w:t>
      </w:r>
      <w:r w:rsidR="005E1F45">
        <w:rPr>
          <w:b w:val="0"/>
        </w:rPr>
        <w:t xml:space="preserve">.  With appropriate layout and design I am satisfied that development on these sites would not detract from the character of the settlement and that their allocation is justified.   </w:t>
      </w:r>
      <w:r>
        <w:rPr>
          <w:b w:val="0"/>
        </w:rPr>
        <w:t xml:space="preserve"> </w:t>
      </w:r>
    </w:p>
    <w:p w:rsidR="00AD65C6" w:rsidRPr="00AD65C6" w:rsidRDefault="00AD65C6" w:rsidP="00AD65C6">
      <w:pPr>
        <w:pStyle w:val="DPDIntro"/>
        <w:widowControl w:val="0"/>
        <w:rPr>
          <w:i/>
        </w:rPr>
      </w:pPr>
      <w:proofErr w:type="spellStart"/>
      <w:r>
        <w:rPr>
          <w:i/>
        </w:rPr>
        <w:t>Watlington</w:t>
      </w:r>
      <w:proofErr w:type="spellEnd"/>
    </w:p>
    <w:p w:rsidR="00AD65C6" w:rsidRDefault="007B7340" w:rsidP="00B249BF">
      <w:pPr>
        <w:pStyle w:val="DPDIntro"/>
        <w:widowControl w:val="0"/>
        <w:numPr>
          <w:ilvl w:val="0"/>
          <w:numId w:val="13"/>
        </w:numPr>
        <w:rPr>
          <w:b w:val="0"/>
        </w:rPr>
      </w:pPr>
      <w:r>
        <w:rPr>
          <w:b w:val="0"/>
        </w:rPr>
        <w:t xml:space="preserve">A number of sites </w:t>
      </w:r>
      <w:r w:rsidR="00C87484">
        <w:rPr>
          <w:b w:val="0"/>
        </w:rPr>
        <w:t xml:space="preserve">in </w:t>
      </w:r>
      <w:proofErr w:type="spellStart"/>
      <w:r w:rsidR="00C87484">
        <w:rPr>
          <w:b w:val="0"/>
        </w:rPr>
        <w:t>Watlington</w:t>
      </w:r>
      <w:proofErr w:type="spellEnd"/>
      <w:r w:rsidR="00C87484">
        <w:rPr>
          <w:b w:val="0"/>
        </w:rPr>
        <w:t xml:space="preserve"> </w:t>
      </w:r>
      <w:r>
        <w:rPr>
          <w:b w:val="0"/>
        </w:rPr>
        <w:t>appraised in the SA scored at similar levels but the Council selected a site south of Thieves Bridge Road to be allocated for</w:t>
      </w:r>
      <w:r w:rsidR="00CA50F7">
        <w:rPr>
          <w:b w:val="0"/>
        </w:rPr>
        <w:t xml:space="preserve"> at least </w:t>
      </w:r>
      <w:r>
        <w:rPr>
          <w:b w:val="0"/>
        </w:rPr>
        <w:t xml:space="preserve">32 dwellings.  The site is bordered on three sides by existing development and although views across the site would be lost that is not a unique characteristic in terms of the other sites considered.  </w:t>
      </w:r>
      <w:r w:rsidR="00321C1A">
        <w:rPr>
          <w:b w:val="0"/>
        </w:rPr>
        <w:t>The location is relatively close to services and facilities and the issue of potential mineral extraction is satisfactorily addressed in criterion 1 of policy G112.1.</w:t>
      </w:r>
    </w:p>
    <w:p w:rsidR="00756538" w:rsidRPr="00756538" w:rsidRDefault="00C87484" w:rsidP="00C87484">
      <w:pPr>
        <w:pStyle w:val="DPDIntro"/>
        <w:widowControl w:val="0"/>
        <w:numPr>
          <w:ilvl w:val="0"/>
          <w:numId w:val="13"/>
        </w:numPr>
        <w:rPr>
          <w:b w:val="0"/>
        </w:rPr>
      </w:pPr>
      <w:r w:rsidRPr="00756538">
        <w:rPr>
          <w:b w:val="0"/>
        </w:rPr>
        <w:t>I am aware that with regard to site 370 in the SA (Mill Road), circumstances have changed with regard to the provision of an appropriate access route.  However, even if the SA score for Highways and Transport was amended accordingly there would still be little to differentiate between the sites</w:t>
      </w:r>
      <w:r w:rsidR="00756538" w:rsidRPr="00756538">
        <w:rPr>
          <w:b w:val="0"/>
        </w:rPr>
        <w:t xml:space="preserve"> and I am mindful that </w:t>
      </w:r>
      <w:r w:rsidR="00756538">
        <w:rPr>
          <w:b w:val="0"/>
        </w:rPr>
        <w:t>t</w:t>
      </w:r>
      <w:r w:rsidR="00756538" w:rsidRPr="00756538">
        <w:rPr>
          <w:b w:val="0"/>
        </w:rPr>
        <w:t>he Highway Authority expressed a preference for the allocated site</w:t>
      </w:r>
      <w:r w:rsidR="00756538">
        <w:rPr>
          <w:b w:val="0"/>
        </w:rPr>
        <w:t>.  I</w:t>
      </w:r>
      <w:r w:rsidR="00756538" w:rsidRPr="00756538">
        <w:rPr>
          <w:b w:val="0"/>
        </w:rPr>
        <w:t>n terms of urban form I consider that the</w:t>
      </w:r>
      <w:r w:rsidR="00756538">
        <w:rPr>
          <w:b w:val="0"/>
        </w:rPr>
        <w:t xml:space="preserve"> allocated</w:t>
      </w:r>
      <w:r w:rsidR="00756538" w:rsidRPr="00756538">
        <w:rPr>
          <w:b w:val="0"/>
        </w:rPr>
        <w:t xml:space="preserve"> site would assimilate well into the existing settlement</w:t>
      </w:r>
      <w:r w:rsidR="00756538">
        <w:rPr>
          <w:b w:val="0"/>
        </w:rPr>
        <w:t xml:space="preserve">.  I conclude that the Council’s allocation at </w:t>
      </w:r>
      <w:proofErr w:type="spellStart"/>
      <w:r w:rsidR="00756538">
        <w:rPr>
          <w:b w:val="0"/>
        </w:rPr>
        <w:t>Watlington</w:t>
      </w:r>
      <w:proofErr w:type="spellEnd"/>
      <w:r w:rsidR="00756538">
        <w:rPr>
          <w:b w:val="0"/>
        </w:rPr>
        <w:t xml:space="preserve"> is sound.</w:t>
      </w:r>
    </w:p>
    <w:p w:rsidR="00DC4273" w:rsidRPr="00DC4273" w:rsidRDefault="00DC4273" w:rsidP="00DC4273">
      <w:pPr>
        <w:pStyle w:val="DPDIntro"/>
        <w:widowControl w:val="0"/>
        <w:rPr>
          <w:i/>
        </w:rPr>
      </w:pPr>
      <w:proofErr w:type="spellStart"/>
      <w:r>
        <w:rPr>
          <w:i/>
        </w:rPr>
        <w:t>Welney</w:t>
      </w:r>
      <w:proofErr w:type="spellEnd"/>
    </w:p>
    <w:p w:rsidR="00DC4273" w:rsidRDefault="00756538" w:rsidP="00B249BF">
      <w:pPr>
        <w:pStyle w:val="DPDIntro"/>
        <w:widowControl w:val="0"/>
        <w:numPr>
          <w:ilvl w:val="0"/>
          <w:numId w:val="13"/>
        </w:numPr>
        <w:rPr>
          <w:b w:val="0"/>
        </w:rPr>
      </w:pPr>
      <w:r>
        <w:rPr>
          <w:b w:val="0"/>
        </w:rPr>
        <w:t xml:space="preserve">Two housing allocations are proposed for </w:t>
      </w:r>
      <w:proofErr w:type="spellStart"/>
      <w:r>
        <w:rPr>
          <w:b w:val="0"/>
        </w:rPr>
        <w:t>Welney</w:t>
      </w:r>
      <w:proofErr w:type="spellEnd"/>
      <w:r w:rsidR="005E1F45">
        <w:rPr>
          <w:b w:val="0"/>
        </w:rPr>
        <w:t xml:space="preserve"> and I am satisfied that they are justified based on the evidence in the SA.  However, </w:t>
      </w:r>
      <w:r w:rsidR="00AC4CF5">
        <w:rPr>
          <w:b w:val="0"/>
        </w:rPr>
        <w:t>the site off Main Street (</w:t>
      </w:r>
      <w:r w:rsidR="005E1F45">
        <w:rPr>
          <w:b w:val="0"/>
        </w:rPr>
        <w:t>policy G113.</w:t>
      </w:r>
      <w:r w:rsidR="00AC4CF5">
        <w:rPr>
          <w:b w:val="0"/>
        </w:rPr>
        <w:t>2) is near to the listed Church of St Mary the Virgin.  In order to ensure that any development on the site would not harm the setting of the Church it is recommended that an additional criterion is included in the policy to that effect (</w:t>
      </w:r>
      <w:r w:rsidR="00A22125">
        <w:t>MM</w:t>
      </w:r>
      <w:r w:rsidR="00A1151C">
        <w:t>57</w:t>
      </w:r>
      <w:r w:rsidR="00AC4CF5">
        <w:rPr>
          <w:b w:val="0"/>
        </w:rPr>
        <w:t>)</w:t>
      </w:r>
      <w:r w:rsidR="00A22125">
        <w:rPr>
          <w:b w:val="0"/>
        </w:rPr>
        <w:t>.</w:t>
      </w:r>
    </w:p>
    <w:p w:rsidR="00AD65C6" w:rsidRPr="00AD65C6" w:rsidRDefault="00AD65C6" w:rsidP="00AD65C6">
      <w:pPr>
        <w:pStyle w:val="DPDIntro"/>
        <w:widowControl w:val="0"/>
        <w:rPr>
          <w:i/>
        </w:rPr>
      </w:pPr>
      <w:proofErr w:type="spellStart"/>
      <w:r>
        <w:rPr>
          <w:i/>
        </w:rPr>
        <w:lastRenderedPageBreak/>
        <w:t>Wereham</w:t>
      </w:r>
      <w:proofErr w:type="spellEnd"/>
    </w:p>
    <w:p w:rsidR="00A4647A" w:rsidRDefault="00756538" w:rsidP="00B249BF">
      <w:pPr>
        <w:pStyle w:val="DPDIntro"/>
        <w:widowControl w:val="0"/>
        <w:numPr>
          <w:ilvl w:val="0"/>
          <w:numId w:val="13"/>
        </w:numPr>
        <w:rPr>
          <w:b w:val="0"/>
        </w:rPr>
      </w:pPr>
      <w:r>
        <w:rPr>
          <w:b w:val="0"/>
        </w:rPr>
        <w:t xml:space="preserve">Land at the </w:t>
      </w:r>
      <w:proofErr w:type="spellStart"/>
      <w:r w:rsidR="004E3148">
        <w:rPr>
          <w:b w:val="0"/>
        </w:rPr>
        <w:t>The</w:t>
      </w:r>
      <w:proofErr w:type="spellEnd"/>
      <w:r w:rsidR="004E3148">
        <w:rPr>
          <w:b w:val="0"/>
        </w:rPr>
        <w:t xml:space="preserve"> </w:t>
      </w:r>
      <w:r>
        <w:rPr>
          <w:b w:val="0"/>
        </w:rPr>
        <w:t xml:space="preserve">Springs, </w:t>
      </w:r>
      <w:proofErr w:type="spellStart"/>
      <w:r>
        <w:rPr>
          <w:b w:val="0"/>
        </w:rPr>
        <w:t>Flegg</w:t>
      </w:r>
      <w:proofErr w:type="spellEnd"/>
      <w:r>
        <w:rPr>
          <w:b w:val="0"/>
        </w:rPr>
        <w:t xml:space="preserve"> Green</w:t>
      </w:r>
      <w:r w:rsidR="00F947A4">
        <w:rPr>
          <w:b w:val="0"/>
        </w:rPr>
        <w:t xml:space="preserve">, </w:t>
      </w:r>
      <w:proofErr w:type="spellStart"/>
      <w:r w:rsidR="00F947A4">
        <w:rPr>
          <w:b w:val="0"/>
        </w:rPr>
        <w:t>Wereham</w:t>
      </w:r>
      <w:proofErr w:type="spellEnd"/>
      <w:r w:rsidR="00F947A4">
        <w:rPr>
          <w:b w:val="0"/>
        </w:rPr>
        <w:t>,</w:t>
      </w:r>
      <w:r>
        <w:rPr>
          <w:b w:val="0"/>
        </w:rPr>
        <w:t xml:space="preserve"> is allocated for </w:t>
      </w:r>
      <w:r w:rsidR="00CA50F7">
        <w:rPr>
          <w:b w:val="0"/>
        </w:rPr>
        <w:t xml:space="preserve">at least </w:t>
      </w:r>
      <w:r>
        <w:rPr>
          <w:b w:val="0"/>
        </w:rPr>
        <w:t>8 dwellings.</w:t>
      </w:r>
      <w:r w:rsidR="00A22125">
        <w:rPr>
          <w:b w:val="0"/>
        </w:rPr>
        <w:t xml:space="preserve">  However, in the SA it was given a similar score to a site at </w:t>
      </w:r>
      <w:r w:rsidR="00AC4CF5">
        <w:rPr>
          <w:b w:val="0"/>
        </w:rPr>
        <w:t>Hollies</w:t>
      </w:r>
      <w:r w:rsidR="00A22125">
        <w:rPr>
          <w:b w:val="0"/>
        </w:rPr>
        <w:t xml:space="preserve"> Farm.  The reason the latter site was not selected was because it was previously used for employment purpose</w:t>
      </w:r>
      <w:r w:rsidR="00AC4CF5">
        <w:rPr>
          <w:b w:val="0"/>
        </w:rPr>
        <w:t>s</w:t>
      </w:r>
      <w:r w:rsidR="00A22125">
        <w:rPr>
          <w:b w:val="0"/>
        </w:rPr>
        <w:t xml:space="preserve">.  Having visited the site and </w:t>
      </w:r>
      <w:r w:rsidR="00AC4CF5">
        <w:rPr>
          <w:b w:val="0"/>
        </w:rPr>
        <w:t>considere</w:t>
      </w:r>
      <w:r w:rsidR="00A22125">
        <w:rPr>
          <w:b w:val="0"/>
        </w:rPr>
        <w:t>d the evidence of the owners I am satisfied that the buildings</w:t>
      </w:r>
      <w:r w:rsidR="00AC4CF5">
        <w:rPr>
          <w:b w:val="0"/>
        </w:rPr>
        <w:t xml:space="preserve"> at Hollies Farm</w:t>
      </w:r>
      <w:r w:rsidR="00A22125">
        <w:rPr>
          <w:b w:val="0"/>
        </w:rPr>
        <w:t xml:space="preserve"> have not been used for employment purposes for many years and that they are in a state of decay.  No </w:t>
      </w:r>
      <w:r w:rsidR="00F947A4">
        <w:rPr>
          <w:b w:val="0"/>
        </w:rPr>
        <w:t xml:space="preserve">compelling </w:t>
      </w:r>
      <w:r w:rsidR="00A22125">
        <w:rPr>
          <w:b w:val="0"/>
        </w:rPr>
        <w:t xml:space="preserve">evidence was </w:t>
      </w:r>
      <w:r w:rsidR="00F947A4">
        <w:rPr>
          <w:b w:val="0"/>
        </w:rPr>
        <w:t xml:space="preserve">provided to </w:t>
      </w:r>
      <w:r w:rsidR="00A22125">
        <w:rPr>
          <w:b w:val="0"/>
        </w:rPr>
        <w:t xml:space="preserve">demonstrate that there is a need for this site to be retained in employment use or that it would be viable so to do.  Bearing in mind the need to make the best use of previously developed land I asked the Council to reconsider the allocation at </w:t>
      </w:r>
      <w:proofErr w:type="spellStart"/>
      <w:r w:rsidR="00A22125">
        <w:rPr>
          <w:b w:val="0"/>
        </w:rPr>
        <w:t>We</w:t>
      </w:r>
      <w:r w:rsidR="00A4647A">
        <w:rPr>
          <w:b w:val="0"/>
        </w:rPr>
        <w:t>reham</w:t>
      </w:r>
      <w:proofErr w:type="spellEnd"/>
      <w:r w:rsidR="00A22125">
        <w:rPr>
          <w:b w:val="0"/>
        </w:rPr>
        <w:t>, which it has done</w:t>
      </w:r>
      <w:r w:rsidR="00A4647A">
        <w:rPr>
          <w:b w:val="0"/>
        </w:rPr>
        <w:t xml:space="preserve"> – including a revised SA (Ref: FW28)</w:t>
      </w:r>
      <w:r w:rsidR="00A22125">
        <w:rPr>
          <w:b w:val="0"/>
        </w:rPr>
        <w:t xml:space="preserve">.  </w:t>
      </w:r>
    </w:p>
    <w:p w:rsidR="00843DAA" w:rsidRPr="00BE00A6" w:rsidRDefault="008C7806" w:rsidP="00843DAA">
      <w:pPr>
        <w:pStyle w:val="DPDIntro"/>
        <w:widowControl w:val="0"/>
        <w:numPr>
          <w:ilvl w:val="0"/>
          <w:numId w:val="13"/>
        </w:numPr>
        <w:rPr>
          <w:b w:val="0"/>
        </w:rPr>
      </w:pPr>
      <w:r w:rsidRPr="00BE00A6">
        <w:rPr>
          <w:b w:val="0"/>
        </w:rPr>
        <w:t xml:space="preserve">The conclusion is that </w:t>
      </w:r>
      <w:r w:rsidR="00A4647A" w:rsidRPr="00BE00A6">
        <w:rPr>
          <w:b w:val="0"/>
        </w:rPr>
        <w:t xml:space="preserve">the site at Hollies Farm is ‘considered appropriate for allocation’ – a conclusion that is strengthened by the fact that the access road at the </w:t>
      </w:r>
      <w:proofErr w:type="spellStart"/>
      <w:r w:rsidR="004E3148">
        <w:rPr>
          <w:b w:val="0"/>
        </w:rPr>
        <w:t>The</w:t>
      </w:r>
      <w:proofErr w:type="spellEnd"/>
      <w:r w:rsidR="004E3148">
        <w:rPr>
          <w:b w:val="0"/>
        </w:rPr>
        <w:t xml:space="preserve"> </w:t>
      </w:r>
      <w:r w:rsidR="00A4647A" w:rsidRPr="00BE00A6">
        <w:rPr>
          <w:b w:val="0"/>
        </w:rPr>
        <w:t>Springs has not been adopted, raising doubts about the delivery of development</w:t>
      </w:r>
      <w:r w:rsidR="00F947A4" w:rsidRPr="00BE00A6">
        <w:rPr>
          <w:b w:val="0"/>
        </w:rPr>
        <w:t xml:space="preserve"> on that site</w:t>
      </w:r>
      <w:r w:rsidR="00A4647A" w:rsidRPr="00BE00A6">
        <w:rPr>
          <w:b w:val="0"/>
        </w:rPr>
        <w:t>.</w:t>
      </w:r>
      <w:r w:rsidR="00F947A4" w:rsidRPr="00BE00A6">
        <w:rPr>
          <w:b w:val="0"/>
        </w:rPr>
        <w:t xml:space="preserve">  Consequently it is recommended that a replacement policy (for at least 8 dwellings), inset map and supporting text is included in the Plan, replacing the allocation at </w:t>
      </w:r>
      <w:r w:rsidR="004E3148">
        <w:rPr>
          <w:b w:val="0"/>
        </w:rPr>
        <w:t>T</w:t>
      </w:r>
      <w:r w:rsidR="00F947A4" w:rsidRPr="00BE00A6">
        <w:rPr>
          <w:b w:val="0"/>
        </w:rPr>
        <w:t>he Springs with one to the rear of ‘</w:t>
      </w:r>
      <w:proofErr w:type="spellStart"/>
      <w:r w:rsidR="00F947A4" w:rsidRPr="00BE00A6">
        <w:rPr>
          <w:b w:val="0"/>
        </w:rPr>
        <w:t>Natanya</w:t>
      </w:r>
      <w:proofErr w:type="spellEnd"/>
      <w:r w:rsidR="00F947A4" w:rsidRPr="00BE00A6">
        <w:rPr>
          <w:b w:val="0"/>
        </w:rPr>
        <w:t xml:space="preserve">’, Hollies Farm, </w:t>
      </w:r>
      <w:proofErr w:type="spellStart"/>
      <w:r w:rsidR="00F947A4" w:rsidRPr="00BE00A6">
        <w:rPr>
          <w:b w:val="0"/>
        </w:rPr>
        <w:t>Flegg</w:t>
      </w:r>
      <w:proofErr w:type="spellEnd"/>
      <w:r w:rsidR="00F947A4" w:rsidRPr="00BE00A6">
        <w:rPr>
          <w:b w:val="0"/>
        </w:rPr>
        <w:t xml:space="preserve"> Green, </w:t>
      </w:r>
      <w:proofErr w:type="spellStart"/>
      <w:r w:rsidR="00F947A4" w:rsidRPr="00BE00A6">
        <w:rPr>
          <w:b w:val="0"/>
        </w:rPr>
        <w:t>Wereham</w:t>
      </w:r>
      <w:proofErr w:type="spellEnd"/>
      <w:r w:rsidR="00F947A4" w:rsidRPr="00BE00A6">
        <w:rPr>
          <w:b w:val="0"/>
        </w:rPr>
        <w:t xml:space="preserve"> (</w:t>
      </w:r>
      <w:r w:rsidR="00A1151C">
        <w:t>MM58</w:t>
      </w:r>
      <w:r w:rsidR="00F947A4">
        <w:t>).</w:t>
      </w:r>
    </w:p>
    <w:p w:rsidR="00AD65C6" w:rsidRPr="00AD65C6" w:rsidRDefault="00AD65C6" w:rsidP="00AD65C6">
      <w:pPr>
        <w:pStyle w:val="DPDIntro"/>
        <w:widowControl w:val="0"/>
        <w:rPr>
          <w:i/>
        </w:rPr>
      </w:pPr>
      <w:r>
        <w:rPr>
          <w:i/>
        </w:rPr>
        <w:t>West Walton</w:t>
      </w:r>
      <w:r w:rsidR="00DC4273">
        <w:rPr>
          <w:i/>
        </w:rPr>
        <w:t>/Walton Highway</w:t>
      </w:r>
    </w:p>
    <w:p w:rsidR="00CC0BBF" w:rsidRPr="00CC0BBF" w:rsidRDefault="008C7806" w:rsidP="00AD65C6">
      <w:pPr>
        <w:pStyle w:val="DPDIntro"/>
        <w:widowControl w:val="0"/>
        <w:numPr>
          <w:ilvl w:val="0"/>
          <w:numId w:val="13"/>
        </w:numPr>
        <w:rPr>
          <w:i/>
        </w:rPr>
      </w:pPr>
      <w:r w:rsidRPr="008C7806">
        <w:rPr>
          <w:b w:val="0"/>
        </w:rPr>
        <w:t xml:space="preserve">The two settlements are largely linear in nature and between them provide a reasonable range of facilities and services.  Two sites are allocated in Walton </w:t>
      </w:r>
      <w:r>
        <w:rPr>
          <w:b w:val="0"/>
        </w:rPr>
        <w:t>H</w:t>
      </w:r>
      <w:r w:rsidRPr="008C7806">
        <w:rPr>
          <w:b w:val="0"/>
        </w:rPr>
        <w:t>ighway</w:t>
      </w:r>
      <w:r>
        <w:rPr>
          <w:b w:val="0"/>
        </w:rPr>
        <w:t xml:space="preserve"> (policies G120.1 and G120.2)</w:t>
      </w:r>
      <w:r w:rsidR="00CC0BBF">
        <w:rPr>
          <w:b w:val="0"/>
        </w:rPr>
        <w:t xml:space="preserve"> and both score relatively well in the SA.  Concerns were expressed regarding the loss of agricultural land but this would be a consequence with regard to many of the potential sites considered and although I have placed it in the balance, it does not outweigh the factors in favour of allocating land for housing in the settlements, which are identified as a key rural service centre in the CS.</w:t>
      </w:r>
    </w:p>
    <w:p w:rsidR="00CC0BBF" w:rsidRPr="00CC0BBF" w:rsidRDefault="00CC0BBF" w:rsidP="00AD65C6">
      <w:pPr>
        <w:pStyle w:val="DPDIntro"/>
        <w:widowControl w:val="0"/>
        <w:numPr>
          <w:ilvl w:val="0"/>
          <w:numId w:val="13"/>
        </w:numPr>
        <w:rPr>
          <w:i/>
        </w:rPr>
      </w:pPr>
      <w:r>
        <w:rPr>
          <w:b w:val="0"/>
        </w:rPr>
        <w:t>Similarly issues relating to highway safety were raised but both policies require the provision of safe access and no evidence was submitted to demonstrate that this could not be satisfactorily achieved.</w:t>
      </w:r>
    </w:p>
    <w:p w:rsidR="008C7806" w:rsidRPr="000F3492" w:rsidRDefault="00CC0BBF" w:rsidP="00CA50F7">
      <w:pPr>
        <w:pStyle w:val="DPDIntro"/>
        <w:widowControl w:val="0"/>
        <w:numPr>
          <w:ilvl w:val="0"/>
          <w:numId w:val="13"/>
        </w:numPr>
        <w:rPr>
          <w:i/>
        </w:rPr>
      </w:pPr>
      <w:r w:rsidRPr="000F3492">
        <w:rPr>
          <w:b w:val="0"/>
        </w:rPr>
        <w:t xml:space="preserve">The Council’s approach to development in West Walton/Walton Highway is sound.  </w:t>
      </w:r>
    </w:p>
    <w:p w:rsidR="00AD65C6" w:rsidRPr="008C7806" w:rsidRDefault="00AD65C6" w:rsidP="008C7806">
      <w:pPr>
        <w:pStyle w:val="DPDIntro"/>
        <w:widowControl w:val="0"/>
        <w:rPr>
          <w:i/>
        </w:rPr>
      </w:pPr>
      <w:proofErr w:type="spellStart"/>
      <w:r w:rsidRPr="008C7806">
        <w:rPr>
          <w:i/>
        </w:rPr>
        <w:t>Wiggenhall</w:t>
      </w:r>
      <w:proofErr w:type="spellEnd"/>
      <w:r w:rsidRPr="008C7806">
        <w:rPr>
          <w:i/>
        </w:rPr>
        <w:t xml:space="preserve"> St Germans</w:t>
      </w:r>
    </w:p>
    <w:p w:rsidR="00A1151C" w:rsidRPr="00466214" w:rsidRDefault="008C7806" w:rsidP="00B249BF">
      <w:pPr>
        <w:pStyle w:val="DPDIntro"/>
        <w:widowControl w:val="0"/>
        <w:numPr>
          <w:ilvl w:val="0"/>
          <w:numId w:val="13"/>
        </w:numPr>
        <w:rPr>
          <w:b w:val="0"/>
        </w:rPr>
      </w:pPr>
      <w:r w:rsidRPr="00466214">
        <w:rPr>
          <w:b w:val="0"/>
        </w:rPr>
        <w:t xml:space="preserve">No </w:t>
      </w:r>
      <w:r w:rsidR="0027459D" w:rsidRPr="00466214">
        <w:rPr>
          <w:b w:val="0"/>
        </w:rPr>
        <w:t xml:space="preserve">housing </w:t>
      </w:r>
      <w:r w:rsidRPr="00466214">
        <w:rPr>
          <w:b w:val="0"/>
        </w:rPr>
        <w:t>allocation</w:t>
      </w:r>
      <w:r w:rsidR="0027459D" w:rsidRPr="00466214">
        <w:rPr>
          <w:b w:val="0"/>
        </w:rPr>
        <w:t xml:space="preserve"> was originally proposed for the village</w:t>
      </w:r>
      <w:r w:rsidR="0084085B">
        <w:rPr>
          <w:b w:val="0"/>
        </w:rPr>
        <w:t xml:space="preserve"> because a suitable site could not be identified by the Council.  However, at a very late stage in the process a suitable sustainable site for 4 dwellings </w:t>
      </w:r>
      <w:r w:rsidR="00CA50F7">
        <w:rPr>
          <w:b w:val="0"/>
        </w:rPr>
        <w:t xml:space="preserve">on land north of Mill Road </w:t>
      </w:r>
      <w:r w:rsidR="0084085B">
        <w:rPr>
          <w:b w:val="0"/>
        </w:rPr>
        <w:t xml:space="preserve">was put forward and a planning application was submitted during the Examination period.  This application was approved by the Council in March 2016.  </w:t>
      </w:r>
      <w:r w:rsidR="001B4DEC">
        <w:rPr>
          <w:b w:val="0"/>
        </w:rPr>
        <w:t>T</w:t>
      </w:r>
      <w:r w:rsidR="001B4DEC" w:rsidRPr="00466214">
        <w:rPr>
          <w:b w:val="0"/>
        </w:rPr>
        <w:t>he settlement is defined as a Rural Village in the CS</w:t>
      </w:r>
      <w:r w:rsidR="001B4DEC">
        <w:rPr>
          <w:b w:val="0"/>
        </w:rPr>
        <w:t xml:space="preserve"> and</w:t>
      </w:r>
      <w:r w:rsidR="001B4DEC" w:rsidRPr="00466214">
        <w:rPr>
          <w:b w:val="0"/>
        </w:rPr>
        <w:t xml:space="preserve"> </w:t>
      </w:r>
      <w:r w:rsidR="001B4DEC">
        <w:rPr>
          <w:b w:val="0"/>
        </w:rPr>
        <w:t>consequently</w:t>
      </w:r>
      <w:r w:rsidR="001B4DEC" w:rsidRPr="00466214">
        <w:rPr>
          <w:b w:val="0"/>
        </w:rPr>
        <w:t xml:space="preserve"> some growth to sustain local services and facilities is justified. </w:t>
      </w:r>
      <w:r w:rsidR="0084085B">
        <w:rPr>
          <w:b w:val="0"/>
        </w:rPr>
        <w:t xml:space="preserve">In these circumstances </w:t>
      </w:r>
      <w:r w:rsidR="001B4DEC">
        <w:t>MM5</w:t>
      </w:r>
      <w:r w:rsidR="00A1151C">
        <w:t>9</w:t>
      </w:r>
      <w:r w:rsidR="00843DAA">
        <w:rPr>
          <w:b w:val="0"/>
        </w:rPr>
        <w:t>, which relates to the additional allocation,</w:t>
      </w:r>
      <w:r w:rsidR="005E17E8">
        <w:t xml:space="preserve"> </w:t>
      </w:r>
      <w:r w:rsidR="005E17E8" w:rsidRPr="00466214">
        <w:rPr>
          <w:b w:val="0"/>
        </w:rPr>
        <w:t>is recommended.</w:t>
      </w:r>
    </w:p>
    <w:p w:rsidR="0027459D" w:rsidRDefault="00466214" w:rsidP="00B249BF">
      <w:pPr>
        <w:pStyle w:val="DPDIntro"/>
        <w:widowControl w:val="0"/>
        <w:numPr>
          <w:ilvl w:val="0"/>
          <w:numId w:val="13"/>
        </w:numPr>
        <w:rPr>
          <w:b w:val="0"/>
        </w:rPr>
      </w:pPr>
      <w:r>
        <w:rPr>
          <w:b w:val="0"/>
        </w:rPr>
        <w:lastRenderedPageBreak/>
        <w:t>A representation was submitted seeking the allocation for housing of the former c</w:t>
      </w:r>
      <w:r w:rsidR="0027459D">
        <w:rPr>
          <w:b w:val="0"/>
        </w:rPr>
        <w:t xml:space="preserve">anning </w:t>
      </w:r>
      <w:r>
        <w:rPr>
          <w:b w:val="0"/>
        </w:rPr>
        <w:t>f</w:t>
      </w:r>
      <w:r w:rsidR="0027459D">
        <w:rPr>
          <w:b w:val="0"/>
        </w:rPr>
        <w:t xml:space="preserve">actory in </w:t>
      </w:r>
      <w:proofErr w:type="spellStart"/>
      <w:r>
        <w:rPr>
          <w:b w:val="0"/>
        </w:rPr>
        <w:t>F</w:t>
      </w:r>
      <w:r w:rsidR="0027459D">
        <w:rPr>
          <w:b w:val="0"/>
        </w:rPr>
        <w:t>itton</w:t>
      </w:r>
      <w:proofErr w:type="spellEnd"/>
      <w:r w:rsidR="0027459D">
        <w:rPr>
          <w:b w:val="0"/>
        </w:rPr>
        <w:t xml:space="preserve"> Road</w:t>
      </w:r>
      <w:r>
        <w:rPr>
          <w:b w:val="0"/>
        </w:rPr>
        <w:t xml:space="preserve">.  I acknowledge that it is important that the best use is made of previously developed land.  However, this site lies outside the development boundary of </w:t>
      </w:r>
      <w:proofErr w:type="spellStart"/>
      <w:r>
        <w:rPr>
          <w:b w:val="0"/>
        </w:rPr>
        <w:t>Wiggenhall</w:t>
      </w:r>
      <w:proofErr w:type="spellEnd"/>
      <w:r>
        <w:rPr>
          <w:b w:val="0"/>
        </w:rPr>
        <w:t xml:space="preserve"> St Germans</w:t>
      </w:r>
      <w:r w:rsidR="00376704">
        <w:rPr>
          <w:b w:val="0"/>
        </w:rPr>
        <w:t>.  I</w:t>
      </w:r>
      <w:r>
        <w:rPr>
          <w:b w:val="0"/>
        </w:rPr>
        <w:t>n any event CS policy CS10 applies and although this seeks to secure the continuation of employment land for that use, if such a use is no longer viable or there would be unacceptable environmental consequences</w:t>
      </w:r>
      <w:r w:rsidR="00376704">
        <w:rPr>
          <w:b w:val="0"/>
        </w:rPr>
        <w:t xml:space="preserve"> or greater benefits to the community could be secured, then consideration will be given by the Council to other uses.  In these circumstances th</w:t>
      </w:r>
      <w:r w:rsidR="001B4DEC">
        <w:rPr>
          <w:b w:val="0"/>
        </w:rPr>
        <w:t>e Council’s</w:t>
      </w:r>
      <w:r w:rsidR="00376704">
        <w:rPr>
          <w:b w:val="0"/>
        </w:rPr>
        <w:t xml:space="preserve"> approach is sound.</w:t>
      </w:r>
      <w:r>
        <w:rPr>
          <w:b w:val="0"/>
        </w:rPr>
        <w:t xml:space="preserve">   </w:t>
      </w:r>
    </w:p>
    <w:p w:rsidR="00AD65C6" w:rsidRPr="006D4E1F" w:rsidRDefault="006D4E1F" w:rsidP="006D4E1F">
      <w:pPr>
        <w:pStyle w:val="DPDIntro"/>
        <w:widowControl w:val="0"/>
      </w:pPr>
      <w:r>
        <w:t>Other Rural Settlements</w:t>
      </w:r>
    </w:p>
    <w:p w:rsidR="00AD65C6" w:rsidRDefault="00332274" w:rsidP="00B249BF">
      <w:pPr>
        <w:pStyle w:val="DPDIntro"/>
        <w:widowControl w:val="0"/>
        <w:numPr>
          <w:ilvl w:val="0"/>
          <w:numId w:val="13"/>
        </w:numPr>
        <w:rPr>
          <w:b w:val="0"/>
        </w:rPr>
      </w:pPr>
      <w:r>
        <w:rPr>
          <w:b w:val="0"/>
        </w:rPr>
        <w:t>Housing a</w:t>
      </w:r>
      <w:r w:rsidR="00016C35">
        <w:rPr>
          <w:b w:val="0"/>
        </w:rPr>
        <w:t xml:space="preserve">llocations are proposed at East </w:t>
      </w:r>
      <w:proofErr w:type="spellStart"/>
      <w:r w:rsidR="00016C35">
        <w:rPr>
          <w:b w:val="0"/>
        </w:rPr>
        <w:t>Rudham</w:t>
      </w:r>
      <w:proofErr w:type="spellEnd"/>
      <w:r w:rsidR="00946BE3">
        <w:rPr>
          <w:b w:val="0"/>
        </w:rPr>
        <w:t>;</w:t>
      </w:r>
      <w:r w:rsidR="00016C35">
        <w:rPr>
          <w:b w:val="0"/>
        </w:rPr>
        <w:t xml:space="preserve"> East Winch</w:t>
      </w:r>
      <w:r w:rsidR="00946BE3">
        <w:rPr>
          <w:b w:val="0"/>
        </w:rPr>
        <w:t>;</w:t>
      </w:r>
      <w:r w:rsidR="00016C35">
        <w:rPr>
          <w:b w:val="0"/>
        </w:rPr>
        <w:t xml:space="preserve"> </w:t>
      </w:r>
      <w:proofErr w:type="spellStart"/>
      <w:r w:rsidR="00016C35">
        <w:rPr>
          <w:b w:val="0"/>
        </w:rPr>
        <w:t>Fincham</w:t>
      </w:r>
      <w:proofErr w:type="spellEnd"/>
      <w:r w:rsidR="00946BE3">
        <w:rPr>
          <w:b w:val="0"/>
        </w:rPr>
        <w:t>;</w:t>
      </w:r>
      <w:r w:rsidR="00016C35">
        <w:rPr>
          <w:b w:val="0"/>
        </w:rPr>
        <w:t xml:space="preserve"> </w:t>
      </w:r>
      <w:proofErr w:type="spellStart"/>
      <w:r w:rsidR="00946BE3">
        <w:rPr>
          <w:b w:val="0"/>
        </w:rPr>
        <w:t>Hillington</w:t>
      </w:r>
      <w:proofErr w:type="spellEnd"/>
      <w:r w:rsidR="00946BE3">
        <w:rPr>
          <w:b w:val="0"/>
        </w:rPr>
        <w:t xml:space="preserve">; </w:t>
      </w:r>
      <w:proofErr w:type="spellStart"/>
      <w:r w:rsidR="00946BE3">
        <w:rPr>
          <w:b w:val="0"/>
        </w:rPr>
        <w:t>Ingoldisthorpe</w:t>
      </w:r>
      <w:proofErr w:type="spellEnd"/>
      <w:r w:rsidR="00946BE3">
        <w:rPr>
          <w:b w:val="0"/>
        </w:rPr>
        <w:t>,</w:t>
      </w:r>
      <w:r w:rsidR="00DC4273">
        <w:rPr>
          <w:b w:val="0"/>
        </w:rPr>
        <w:t xml:space="preserve"> </w:t>
      </w:r>
      <w:proofErr w:type="spellStart"/>
      <w:r w:rsidR="00946BE3">
        <w:rPr>
          <w:b w:val="0"/>
        </w:rPr>
        <w:t>Marham</w:t>
      </w:r>
      <w:proofErr w:type="spellEnd"/>
      <w:r w:rsidR="00946BE3">
        <w:rPr>
          <w:b w:val="0"/>
        </w:rPr>
        <w:t xml:space="preserve">; Middleton; </w:t>
      </w:r>
      <w:proofErr w:type="spellStart"/>
      <w:r w:rsidR="00946BE3">
        <w:rPr>
          <w:b w:val="0"/>
        </w:rPr>
        <w:t>Runcton</w:t>
      </w:r>
      <w:proofErr w:type="spellEnd"/>
      <w:r w:rsidR="00946BE3">
        <w:rPr>
          <w:b w:val="0"/>
        </w:rPr>
        <w:t xml:space="preserve"> Holme; </w:t>
      </w:r>
      <w:proofErr w:type="spellStart"/>
      <w:r w:rsidR="00946BE3">
        <w:rPr>
          <w:b w:val="0"/>
        </w:rPr>
        <w:t>Sedgeford</w:t>
      </w:r>
      <w:proofErr w:type="spellEnd"/>
      <w:r w:rsidR="00946BE3">
        <w:rPr>
          <w:b w:val="0"/>
        </w:rPr>
        <w:t xml:space="preserve">; </w:t>
      </w:r>
      <w:proofErr w:type="spellStart"/>
      <w:r w:rsidR="00946BE3">
        <w:rPr>
          <w:b w:val="0"/>
        </w:rPr>
        <w:t>Shouldham</w:t>
      </w:r>
      <w:proofErr w:type="spellEnd"/>
      <w:r w:rsidR="00946BE3">
        <w:rPr>
          <w:b w:val="0"/>
        </w:rPr>
        <w:t>; Tilney All Saints;</w:t>
      </w:r>
      <w:r w:rsidR="00DC4273">
        <w:rPr>
          <w:b w:val="0"/>
        </w:rPr>
        <w:t xml:space="preserve"> and </w:t>
      </w:r>
      <w:proofErr w:type="spellStart"/>
      <w:r w:rsidR="00DC4273">
        <w:rPr>
          <w:b w:val="0"/>
        </w:rPr>
        <w:t>Wiggenhall</w:t>
      </w:r>
      <w:proofErr w:type="spellEnd"/>
      <w:r w:rsidR="00DC4273">
        <w:rPr>
          <w:b w:val="0"/>
        </w:rPr>
        <w:t xml:space="preserve"> St Mary Magdalen. </w:t>
      </w:r>
      <w:r w:rsidR="00016C35">
        <w:rPr>
          <w:b w:val="0"/>
        </w:rPr>
        <w:t xml:space="preserve"> </w:t>
      </w:r>
    </w:p>
    <w:p w:rsidR="00AD65C6" w:rsidRDefault="00DC4273" w:rsidP="00B249BF">
      <w:pPr>
        <w:pStyle w:val="DPDIntro"/>
        <w:widowControl w:val="0"/>
        <w:numPr>
          <w:ilvl w:val="0"/>
          <w:numId w:val="13"/>
        </w:numPr>
        <w:rPr>
          <w:b w:val="0"/>
        </w:rPr>
      </w:pPr>
      <w:r>
        <w:rPr>
          <w:b w:val="0"/>
        </w:rPr>
        <w:t xml:space="preserve">Where representations have been submitted regarding these other settlements I have taken them into account in my deliberations.  However, I consider that the Council has satisfactorily justified these allocations, primarily through the SA, and that there is no compelling evidence that would lead me to conclude that </w:t>
      </w:r>
      <w:r w:rsidR="00453360">
        <w:rPr>
          <w:b w:val="0"/>
        </w:rPr>
        <w:t xml:space="preserve">any of </w:t>
      </w:r>
      <w:r>
        <w:rPr>
          <w:b w:val="0"/>
        </w:rPr>
        <w:t>these allocations are not sound.</w:t>
      </w:r>
    </w:p>
    <w:p w:rsidR="00CA50F7" w:rsidRDefault="003A1F71" w:rsidP="00B249BF">
      <w:pPr>
        <w:pStyle w:val="DPDIntro"/>
        <w:widowControl w:val="0"/>
        <w:numPr>
          <w:ilvl w:val="0"/>
          <w:numId w:val="13"/>
        </w:numPr>
        <w:rPr>
          <w:b w:val="0"/>
        </w:rPr>
      </w:pPr>
      <w:r>
        <w:rPr>
          <w:b w:val="0"/>
        </w:rPr>
        <w:t>A number of settlements have no housing allocations</w:t>
      </w:r>
      <w:r w:rsidR="008C7CEC">
        <w:rPr>
          <w:b w:val="0"/>
        </w:rPr>
        <w:t xml:space="preserve"> or development boundaries but there are circumstances where residential development may be acceptable in such locations (see policy DM3).  This approach affords protection to the rural character of much of the Borough whilst enabling</w:t>
      </w:r>
      <w:r w:rsidR="0027459D">
        <w:rPr>
          <w:b w:val="0"/>
        </w:rPr>
        <w:t xml:space="preserve"> the provision of</w:t>
      </w:r>
      <w:r w:rsidR="008C7CEC">
        <w:rPr>
          <w:b w:val="0"/>
        </w:rPr>
        <w:t xml:space="preserve"> appropriate sustainable development.</w:t>
      </w:r>
    </w:p>
    <w:p w:rsidR="00CA50F7" w:rsidRPr="00CA50F7" w:rsidRDefault="00CA50F7" w:rsidP="00CA50F7">
      <w:pPr>
        <w:pStyle w:val="DPDIntro"/>
        <w:widowControl w:val="0"/>
      </w:pPr>
      <w:r>
        <w:t>Conclusion on Issue 5</w:t>
      </w:r>
    </w:p>
    <w:p w:rsidR="003A1F71" w:rsidRPr="000F3492" w:rsidRDefault="00CA50F7" w:rsidP="000F3492">
      <w:pPr>
        <w:pStyle w:val="DPDIntro"/>
        <w:widowControl w:val="0"/>
        <w:numPr>
          <w:ilvl w:val="0"/>
          <w:numId w:val="13"/>
        </w:numPr>
        <w:rPr>
          <w:b w:val="0"/>
        </w:rPr>
      </w:pPr>
      <w:r w:rsidRPr="000F3492">
        <w:rPr>
          <w:b w:val="0"/>
        </w:rPr>
        <w:t>The allocations and policies (as modified) for settlements in rural West Norfolk are justified and in all other respects sound.</w:t>
      </w:r>
      <w:r w:rsidR="008C7CEC" w:rsidRPr="000F3492">
        <w:rPr>
          <w:b w:val="0"/>
        </w:rPr>
        <w:t xml:space="preserve"> </w:t>
      </w:r>
      <w:r w:rsidR="003A1F71" w:rsidRPr="000F3492">
        <w:rPr>
          <w:b w:val="0"/>
        </w:rPr>
        <w:t xml:space="preserve"> </w:t>
      </w:r>
    </w:p>
    <w:p w:rsidR="00F669F9" w:rsidRPr="00F669F9" w:rsidRDefault="00F669F9" w:rsidP="00F669F9">
      <w:pPr>
        <w:pStyle w:val="DPDIntro"/>
        <w:widowControl w:val="0"/>
      </w:pPr>
      <w:r>
        <w:t xml:space="preserve">Issue </w:t>
      </w:r>
      <w:r w:rsidR="003E26AE">
        <w:t>6</w:t>
      </w:r>
      <w:r>
        <w:t xml:space="preserve"> – Whether or not the Development Management Policies are </w:t>
      </w:r>
      <w:proofErr w:type="gramStart"/>
      <w:r w:rsidR="001B366B">
        <w:t>Justified</w:t>
      </w:r>
      <w:proofErr w:type="gramEnd"/>
      <w:r w:rsidR="001B366B">
        <w:t xml:space="preserve"> and Effective</w:t>
      </w:r>
      <w:r>
        <w:t>.</w:t>
      </w:r>
    </w:p>
    <w:p w:rsidR="00CC4216" w:rsidRDefault="00BF4B40" w:rsidP="00B249BF">
      <w:pPr>
        <w:pStyle w:val="DPDIntro"/>
        <w:widowControl w:val="0"/>
        <w:numPr>
          <w:ilvl w:val="0"/>
          <w:numId w:val="13"/>
        </w:numPr>
        <w:rPr>
          <w:b w:val="0"/>
        </w:rPr>
      </w:pPr>
      <w:r>
        <w:rPr>
          <w:b w:val="0"/>
        </w:rPr>
        <w:t xml:space="preserve">The LP includes 22 Development Management Policies that cover a wide range of issues.  </w:t>
      </w:r>
    </w:p>
    <w:p w:rsidR="00E30BA7" w:rsidRDefault="00CC4216" w:rsidP="00B249BF">
      <w:pPr>
        <w:pStyle w:val="DPDIntro"/>
        <w:widowControl w:val="0"/>
        <w:numPr>
          <w:ilvl w:val="0"/>
          <w:numId w:val="13"/>
        </w:numPr>
        <w:rPr>
          <w:b w:val="0"/>
        </w:rPr>
      </w:pPr>
      <w:r>
        <w:rPr>
          <w:b w:val="0"/>
        </w:rPr>
        <w:t xml:space="preserve">Concerns were raised regarding </w:t>
      </w:r>
      <w:r w:rsidR="00BF4B40">
        <w:rPr>
          <w:b w:val="0"/>
        </w:rPr>
        <w:t xml:space="preserve">Policy </w:t>
      </w:r>
      <w:r w:rsidR="00BF4B40" w:rsidRPr="0069116E">
        <w:rPr>
          <w:i/>
        </w:rPr>
        <w:t>DM2</w:t>
      </w:r>
      <w:r w:rsidRPr="0069116E">
        <w:rPr>
          <w:i/>
        </w:rPr>
        <w:t xml:space="preserve"> Development Boundaries</w:t>
      </w:r>
      <w:r>
        <w:rPr>
          <w:b w:val="0"/>
        </w:rPr>
        <w:t xml:space="preserve">, with several respondents suggesting that the boundaries should be drawn more widely in order that the Council could adopt a more flexible approach to development in the settlements.  Others questioned the logic and consistency in the delineation of the settlements.  Many of the boundaries follow the route of those delineated in the 1998 Local Plan and in general the Council has excluded </w:t>
      </w:r>
      <w:proofErr w:type="spellStart"/>
      <w:r>
        <w:rPr>
          <w:b w:val="0"/>
        </w:rPr>
        <w:t>backland</w:t>
      </w:r>
      <w:proofErr w:type="spellEnd"/>
      <w:r w:rsidR="00680E72">
        <w:rPr>
          <w:b w:val="0"/>
        </w:rPr>
        <w:t xml:space="preserve"> where the development of such a site would be difficult to satisfactorily achieve.  The supporting text to the policy makes it clear that not all development outside a boundary will be resisted by the Council provided it would deliver wider sustainability objectives.  </w:t>
      </w:r>
    </w:p>
    <w:p w:rsidR="00F669F9" w:rsidRPr="00E30BA7" w:rsidRDefault="00B61526" w:rsidP="00B249BF">
      <w:pPr>
        <w:pStyle w:val="DPDIntro"/>
        <w:widowControl w:val="0"/>
        <w:numPr>
          <w:ilvl w:val="0"/>
          <w:numId w:val="13"/>
        </w:numPr>
        <w:rPr>
          <w:b w:val="0"/>
        </w:rPr>
      </w:pPr>
      <w:r w:rsidRPr="00E30BA7">
        <w:rPr>
          <w:b w:val="0"/>
        </w:rPr>
        <w:t xml:space="preserve">Bearing in mind the very large number of settlements in the Borough I am satisfied that an appropriate level of consistency has been achieved in identifying settlement boundaries.  </w:t>
      </w:r>
      <w:r w:rsidR="00E30BA7" w:rsidRPr="00E30BA7">
        <w:rPr>
          <w:b w:val="0"/>
        </w:rPr>
        <w:t xml:space="preserve">In order to more accurately reflect the </w:t>
      </w:r>
      <w:r w:rsidR="00E30BA7" w:rsidRPr="00E30BA7">
        <w:rPr>
          <w:b w:val="0"/>
        </w:rPr>
        <w:lastRenderedPageBreak/>
        <w:t xml:space="preserve">Council’s strategy it is recommended </w:t>
      </w:r>
      <w:r w:rsidR="00E30BA7">
        <w:rPr>
          <w:b w:val="0"/>
        </w:rPr>
        <w:t>(</w:t>
      </w:r>
      <w:r w:rsidR="00E30BA7">
        <w:t>MM2</w:t>
      </w:r>
      <w:r w:rsidR="0027459D">
        <w:rPr>
          <w:b w:val="0"/>
        </w:rPr>
        <w:t>)</w:t>
      </w:r>
      <w:r w:rsidR="00E30BA7">
        <w:t xml:space="preserve"> </w:t>
      </w:r>
      <w:r w:rsidR="00E30BA7" w:rsidRPr="00E30BA7">
        <w:rPr>
          <w:b w:val="0"/>
        </w:rPr>
        <w:t>that the policy sets out types of development that may be acceptable in the countryside and confirm</w:t>
      </w:r>
      <w:r w:rsidR="00E30BA7">
        <w:rPr>
          <w:b w:val="0"/>
        </w:rPr>
        <w:t>s</w:t>
      </w:r>
      <w:r w:rsidR="00E30BA7" w:rsidRPr="00E30BA7">
        <w:rPr>
          <w:b w:val="0"/>
        </w:rPr>
        <w:t xml:space="preserve"> that infilling may be permitted in the Smaller Villages and Hamlets.  </w:t>
      </w:r>
      <w:r w:rsidR="00680E72" w:rsidRPr="00E30BA7">
        <w:rPr>
          <w:b w:val="0"/>
        </w:rPr>
        <w:t>I</w:t>
      </w:r>
      <w:r w:rsidR="00E30BA7">
        <w:rPr>
          <w:b w:val="0"/>
        </w:rPr>
        <w:t>n this way I</w:t>
      </w:r>
      <w:r w:rsidR="00680E72" w:rsidRPr="00E30BA7">
        <w:rPr>
          <w:b w:val="0"/>
        </w:rPr>
        <w:t xml:space="preserve"> am satisfied that the policy </w:t>
      </w:r>
      <w:r w:rsidR="00B310B1">
        <w:rPr>
          <w:b w:val="0"/>
        </w:rPr>
        <w:t>would be</w:t>
      </w:r>
      <w:r w:rsidR="00680E72" w:rsidRPr="00E30BA7">
        <w:rPr>
          <w:b w:val="0"/>
        </w:rPr>
        <w:t xml:space="preserve"> justified</w:t>
      </w:r>
      <w:r w:rsidR="00E30BA7">
        <w:rPr>
          <w:b w:val="0"/>
        </w:rPr>
        <w:t>, noting</w:t>
      </w:r>
      <w:r w:rsidR="00680E72" w:rsidRPr="00E30BA7">
        <w:rPr>
          <w:b w:val="0"/>
        </w:rPr>
        <w:t xml:space="preserve"> that the opportunity exists (and has been taken by a number of Parish Councils) for the boundar</w:t>
      </w:r>
      <w:r w:rsidRPr="00E30BA7">
        <w:rPr>
          <w:b w:val="0"/>
        </w:rPr>
        <w:t>ies</w:t>
      </w:r>
      <w:r w:rsidR="00680E72" w:rsidRPr="00E30BA7">
        <w:rPr>
          <w:b w:val="0"/>
        </w:rPr>
        <w:t xml:space="preserve"> to be re-assessed as part of the Neighbourhood Plan process.</w:t>
      </w:r>
    </w:p>
    <w:p w:rsidR="00C204A7" w:rsidRPr="00623F9B" w:rsidRDefault="00EB1575" w:rsidP="00B249BF">
      <w:pPr>
        <w:pStyle w:val="DPDIntro"/>
        <w:widowControl w:val="0"/>
        <w:numPr>
          <w:ilvl w:val="0"/>
          <w:numId w:val="13"/>
        </w:numPr>
        <w:rPr>
          <w:b w:val="0"/>
        </w:rPr>
      </w:pPr>
      <w:r w:rsidRPr="00623F9B">
        <w:rPr>
          <w:b w:val="0"/>
        </w:rPr>
        <w:t xml:space="preserve">The smaller villages and hamlets do not have a settlement boundary.  Nevertheless there may be a justification for allowing small-scale sustainable development in such settlements, for example to meet local need or maintain the vitality of the community.  Consequently Policy </w:t>
      </w:r>
      <w:r w:rsidRPr="0069116E">
        <w:rPr>
          <w:i/>
        </w:rPr>
        <w:t>DM3 Infill Development in the Smaller Villages and Hamlets</w:t>
      </w:r>
      <w:r w:rsidRPr="0069116E">
        <w:rPr>
          <w:b w:val="0"/>
          <w:i/>
        </w:rPr>
        <w:t xml:space="preserve"> </w:t>
      </w:r>
      <w:r w:rsidRPr="00623F9B">
        <w:rPr>
          <w:b w:val="0"/>
        </w:rPr>
        <w:t>supports appropriate development in such locations.</w:t>
      </w:r>
      <w:r w:rsidR="00E30BA7" w:rsidRPr="00623F9B">
        <w:rPr>
          <w:b w:val="0"/>
        </w:rPr>
        <w:t xml:space="preserve">  However, the submitted policy does not identify the types of development that may be suitable. Consequently, in the interests of effectiveness, it is recommended that the types of development that may be suitable in rural areas are referred to in the policy and that </w:t>
      </w:r>
      <w:r w:rsidR="00623F9B" w:rsidRPr="00623F9B">
        <w:rPr>
          <w:b w:val="0"/>
        </w:rPr>
        <w:t>the policy refers to ‘Development’ rather than just infill housing (</w:t>
      </w:r>
      <w:r w:rsidR="00623F9B">
        <w:t>MM4</w:t>
      </w:r>
      <w:r w:rsidR="00623F9B" w:rsidRPr="00623F9B">
        <w:rPr>
          <w:b w:val="0"/>
        </w:rPr>
        <w:t>)</w:t>
      </w:r>
      <w:r w:rsidR="00623F9B">
        <w:rPr>
          <w:b w:val="0"/>
        </w:rPr>
        <w:t>.</w:t>
      </w:r>
      <w:r w:rsidR="00623F9B" w:rsidRPr="00623F9B">
        <w:rPr>
          <w:b w:val="0"/>
        </w:rPr>
        <w:t xml:space="preserve"> </w:t>
      </w:r>
      <w:r w:rsidRPr="00623F9B">
        <w:rPr>
          <w:b w:val="0"/>
        </w:rPr>
        <w:t>I consider this approach to be reasonable</w:t>
      </w:r>
      <w:r w:rsidR="00C204A7" w:rsidRPr="00623F9B">
        <w:rPr>
          <w:b w:val="0"/>
        </w:rPr>
        <w:t xml:space="preserve">, </w:t>
      </w:r>
      <w:r w:rsidRPr="00623F9B">
        <w:rPr>
          <w:b w:val="0"/>
        </w:rPr>
        <w:t>sufficiently flexible</w:t>
      </w:r>
      <w:r w:rsidR="00C204A7" w:rsidRPr="00623F9B">
        <w:rPr>
          <w:b w:val="0"/>
        </w:rPr>
        <w:t xml:space="preserve"> and in accordance with the principles of sustainability.  </w:t>
      </w:r>
    </w:p>
    <w:p w:rsidR="00F82E95" w:rsidRDefault="00C204A7" w:rsidP="00B249BF">
      <w:pPr>
        <w:pStyle w:val="DPDIntro"/>
        <w:widowControl w:val="0"/>
        <w:numPr>
          <w:ilvl w:val="0"/>
          <w:numId w:val="13"/>
        </w:numPr>
        <w:rPr>
          <w:b w:val="0"/>
        </w:rPr>
      </w:pPr>
      <w:r>
        <w:rPr>
          <w:b w:val="0"/>
        </w:rPr>
        <w:t xml:space="preserve">Concerns were expressed regarding the variations in the affordable housing requirements across the Borough and the fact that need is not being met.  These are legitimate issues to be tackled but that will be the role of the forthcoming Review of the Local Plan which is timetabled to commence </w:t>
      </w:r>
      <w:r w:rsidR="00623F9B">
        <w:rPr>
          <w:b w:val="0"/>
        </w:rPr>
        <w:t>this year.</w:t>
      </w:r>
    </w:p>
    <w:p w:rsidR="00FB6CE4" w:rsidRDefault="00F82E95" w:rsidP="00B249BF">
      <w:pPr>
        <w:pStyle w:val="DPDIntro"/>
        <w:widowControl w:val="0"/>
        <w:numPr>
          <w:ilvl w:val="0"/>
          <w:numId w:val="13"/>
        </w:numPr>
        <w:rPr>
          <w:b w:val="0"/>
        </w:rPr>
      </w:pPr>
      <w:r>
        <w:rPr>
          <w:b w:val="0"/>
        </w:rPr>
        <w:t xml:space="preserve">The retention of existing community facilities is an important objective and the Council’s approach is embodied in Policy </w:t>
      </w:r>
      <w:r w:rsidRPr="0069116E">
        <w:rPr>
          <w:i/>
        </w:rPr>
        <w:t>DM9 Community Facilities</w:t>
      </w:r>
      <w:r w:rsidR="0069116E">
        <w:rPr>
          <w:b w:val="0"/>
        </w:rPr>
        <w:t>.</w:t>
      </w:r>
      <w:r>
        <w:t xml:space="preserve">  </w:t>
      </w:r>
      <w:r>
        <w:rPr>
          <w:b w:val="0"/>
        </w:rPr>
        <w:t xml:space="preserve">However, the submitted policy is overly complicated and inflexible and therefore the Council is proposing to amend the policy and the supporting text.  I agree with the Council that this is necessary to ensure that the policy is justified and effective and therefore </w:t>
      </w:r>
      <w:r>
        <w:t>MM</w:t>
      </w:r>
      <w:r w:rsidR="00A1151C">
        <w:t xml:space="preserve">5 </w:t>
      </w:r>
      <w:r>
        <w:rPr>
          <w:b w:val="0"/>
        </w:rPr>
        <w:t xml:space="preserve">is recommended.  </w:t>
      </w:r>
      <w:proofErr w:type="gramStart"/>
      <w:r>
        <w:rPr>
          <w:b w:val="0"/>
        </w:rPr>
        <w:t>Similarly</w:t>
      </w:r>
      <w:proofErr w:type="gramEnd"/>
      <w:r>
        <w:rPr>
          <w:b w:val="0"/>
        </w:rPr>
        <w:t xml:space="preserve"> Policy </w:t>
      </w:r>
      <w:r w:rsidRPr="0069116E">
        <w:rPr>
          <w:i/>
        </w:rPr>
        <w:t>DM10 Retail Development Outside Town Centres</w:t>
      </w:r>
      <w:r>
        <w:rPr>
          <w:b w:val="0"/>
        </w:rPr>
        <w:t xml:space="preserve"> lacks clarity and consequently the Council proposes to </w:t>
      </w:r>
      <w:r w:rsidR="00453360">
        <w:rPr>
          <w:b w:val="0"/>
        </w:rPr>
        <w:t>make amendments</w:t>
      </w:r>
      <w:r>
        <w:rPr>
          <w:b w:val="0"/>
        </w:rPr>
        <w:t xml:space="preserve"> to better explain the intent and scope of the policy. </w:t>
      </w:r>
      <w:r w:rsidR="00FB6CE4">
        <w:rPr>
          <w:b w:val="0"/>
        </w:rPr>
        <w:t xml:space="preserve">I agree that this is required in the interests of consistency with national policy and recommend </w:t>
      </w:r>
      <w:r w:rsidR="00FB6CE4">
        <w:t>MM</w:t>
      </w:r>
      <w:r w:rsidR="00A1151C">
        <w:t xml:space="preserve">6 </w:t>
      </w:r>
      <w:r w:rsidR="00FB6CE4">
        <w:rPr>
          <w:b w:val="0"/>
        </w:rPr>
        <w:t>accordingly.</w:t>
      </w:r>
    </w:p>
    <w:p w:rsidR="00706F45" w:rsidRDefault="00FB6CE4" w:rsidP="00B249BF">
      <w:pPr>
        <w:pStyle w:val="DPDIntro"/>
        <w:widowControl w:val="0"/>
        <w:numPr>
          <w:ilvl w:val="0"/>
          <w:numId w:val="13"/>
        </w:numPr>
        <w:rPr>
          <w:b w:val="0"/>
        </w:rPr>
      </w:pPr>
      <w:r>
        <w:rPr>
          <w:b w:val="0"/>
        </w:rPr>
        <w:t xml:space="preserve">Policy </w:t>
      </w:r>
      <w:r w:rsidRPr="0069116E">
        <w:rPr>
          <w:i/>
        </w:rPr>
        <w:t>DM11 Touring and Permanent Holiday Sites</w:t>
      </w:r>
      <w:r>
        <w:rPr>
          <w:b w:val="0"/>
        </w:rPr>
        <w:t xml:space="preserve"> </w:t>
      </w:r>
      <w:proofErr w:type="gramStart"/>
      <w:r>
        <w:rPr>
          <w:b w:val="0"/>
        </w:rPr>
        <w:t>establishes</w:t>
      </w:r>
      <w:proofErr w:type="gramEnd"/>
      <w:r>
        <w:rPr>
          <w:b w:val="0"/>
        </w:rPr>
        <w:t xml:space="preserve"> the locational requirements and the conditions to be applied to new holiday accommodation.  Many such sites are located within the AONB or nearby but the submitted policy and supporting text lacks sufficient clarity with regard to the protection of the AONB and its setting.  </w:t>
      </w:r>
      <w:proofErr w:type="gramStart"/>
      <w:r>
        <w:rPr>
          <w:b w:val="0"/>
        </w:rPr>
        <w:t>Therefore</w:t>
      </w:r>
      <w:proofErr w:type="gramEnd"/>
      <w:r>
        <w:rPr>
          <w:b w:val="0"/>
        </w:rPr>
        <w:t xml:space="preserve"> the Council is proposing amendments to the text and policy (</w:t>
      </w:r>
      <w:r>
        <w:t>MM</w:t>
      </w:r>
      <w:r w:rsidR="00CE4CA6">
        <w:t>7</w:t>
      </w:r>
      <w:r>
        <w:rPr>
          <w:b w:val="0"/>
        </w:rPr>
        <w:t>) which I endorse and recommend</w:t>
      </w:r>
      <w:r w:rsidR="00706F45">
        <w:rPr>
          <w:b w:val="0"/>
        </w:rPr>
        <w:t xml:space="preserve"> to ensure that the most appropriate strategy will be followed.</w:t>
      </w:r>
    </w:p>
    <w:p w:rsidR="00CE4CA6" w:rsidRPr="00727363" w:rsidRDefault="0069116E" w:rsidP="00B249BF">
      <w:pPr>
        <w:pStyle w:val="DPDIntro"/>
        <w:widowControl w:val="0"/>
        <w:numPr>
          <w:ilvl w:val="0"/>
          <w:numId w:val="13"/>
        </w:numPr>
        <w:rPr>
          <w:b w:val="0"/>
        </w:rPr>
      </w:pPr>
      <w:r>
        <w:rPr>
          <w:b w:val="0"/>
        </w:rPr>
        <w:t xml:space="preserve">A number of corrections and additions to the </w:t>
      </w:r>
      <w:r w:rsidR="00CE4CA6" w:rsidRPr="0069116E">
        <w:rPr>
          <w:i/>
        </w:rPr>
        <w:t xml:space="preserve">Strategic </w:t>
      </w:r>
      <w:r w:rsidRPr="0069116E">
        <w:rPr>
          <w:i/>
        </w:rPr>
        <w:t>R</w:t>
      </w:r>
      <w:r w:rsidR="00CE4CA6" w:rsidRPr="0069116E">
        <w:rPr>
          <w:i/>
        </w:rPr>
        <w:t xml:space="preserve">oad </w:t>
      </w:r>
      <w:r w:rsidRPr="0069116E">
        <w:rPr>
          <w:i/>
        </w:rPr>
        <w:t>N</w:t>
      </w:r>
      <w:r w:rsidR="00CE4CA6" w:rsidRPr="0069116E">
        <w:rPr>
          <w:i/>
        </w:rPr>
        <w:t>etwork</w:t>
      </w:r>
      <w:r w:rsidR="00CE4CA6">
        <w:rPr>
          <w:b w:val="0"/>
        </w:rPr>
        <w:t xml:space="preserve"> (</w:t>
      </w:r>
      <w:r>
        <w:rPr>
          <w:b w:val="0"/>
        </w:rPr>
        <w:t xml:space="preserve">policy </w:t>
      </w:r>
      <w:r w:rsidR="00CE4CA6">
        <w:rPr>
          <w:b w:val="0"/>
        </w:rPr>
        <w:t>DM12)</w:t>
      </w:r>
      <w:r>
        <w:rPr>
          <w:b w:val="0"/>
        </w:rPr>
        <w:t>,</w:t>
      </w:r>
      <w:r w:rsidR="00727363">
        <w:rPr>
          <w:b w:val="0"/>
        </w:rPr>
        <w:t xml:space="preserve"> </w:t>
      </w:r>
      <w:r>
        <w:rPr>
          <w:b w:val="0"/>
        </w:rPr>
        <w:t>as identified on the Inset Maps, are required for accuracy and completeness.</w:t>
      </w:r>
      <w:r w:rsidR="00727363">
        <w:rPr>
          <w:b w:val="0"/>
        </w:rPr>
        <w:t xml:space="preserve">  It is also proposed by the Council to clarify the advice in the policy.  These changes are necessary to ensure that the most appropriate strategy will be followed and </w:t>
      </w:r>
      <w:r w:rsidR="00CE4CA6">
        <w:t>MM8</w:t>
      </w:r>
      <w:r w:rsidR="00727363">
        <w:t xml:space="preserve"> and MM61 </w:t>
      </w:r>
      <w:r w:rsidR="00727363" w:rsidRPr="00727363">
        <w:rPr>
          <w:b w:val="0"/>
        </w:rPr>
        <w:t>are therefore recommended</w:t>
      </w:r>
      <w:r w:rsidR="00727363">
        <w:rPr>
          <w:b w:val="0"/>
        </w:rPr>
        <w:t>.</w:t>
      </w:r>
      <w:r w:rsidR="00CE4CA6" w:rsidRPr="00727363">
        <w:rPr>
          <w:b w:val="0"/>
        </w:rPr>
        <w:t xml:space="preserve">  </w:t>
      </w:r>
    </w:p>
    <w:p w:rsidR="006E2D66" w:rsidRPr="006E2D66" w:rsidRDefault="00B765A1" w:rsidP="00F669F9">
      <w:pPr>
        <w:pStyle w:val="DPDIntro"/>
        <w:widowControl w:val="0"/>
        <w:numPr>
          <w:ilvl w:val="0"/>
          <w:numId w:val="13"/>
        </w:numPr>
      </w:pPr>
      <w:r>
        <w:rPr>
          <w:b w:val="0"/>
        </w:rPr>
        <w:t xml:space="preserve">A number of former railway routes </w:t>
      </w:r>
      <w:r w:rsidR="00EB363D">
        <w:rPr>
          <w:b w:val="0"/>
        </w:rPr>
        <w:t xml:space="preserve">(policy </w:t>
      </w:r>
      <w:r w:rsidR="00EB363D" w:rsidRPr="0069116E">
        <w:rPr>
          <w:i/>
        </w:rPr>
        <w:t>DM13 Railway Trackways</w:t>
      </w:r>
      <w:r w:rsidR="0069116E">
        <w:rPr>
          <w:b w:val="0"/>
        </w:rPr>
        <w:t>)</w:t>
      </w:r>
      <w:r w:rsidR="00EB363D">
        <w:t xml:space="preserve"> </w:t>
      </w:r>
      <w:r>
        <w:rPr>
          <w:b w:val="0"/>
        </w:rPr>
        <w:t xml:space="preserve">are to be safeguarded for their recreational potential.  The Council is </w:t>
      </w:r>
      <w:r w:rsidR="00EB363D">
        <w:rPr>
          <w:b w:val="0"/>
        </w:rPr>
        <w:t xml:space="preserve">now </w:t>
      </w:r>
      <w:r>
        <w:rPr>
          <w:b w:val="0"/>
        </w:rPr>
        <w:t xml:space="preserve">proposing </w:t>
      </w:r>
      <w:r>
        <w:rPr>
          <w:b w:val="0"/>
        </w:rPr>
        <w:lastRenderedPageBreak/>
        <w:t xml:space="preserve">to include </w:t>
      </w:r>
      <w:r w:rsidR="00EB363D">
        <w:rPr>
          <w:b w:val="0"/>
        </w:rPr>
        <w:t xml:space="preserve"> the section of the former King’s Lynn to Fakenham route between West Winch and the </w:t>
      </w:r>
      <w:proofErr w:type="spellStart"/>
      <w:r w:rsidR="00EB363D">
        <w:rPr>
          <w:b w:val="0"/>
        </w:rPr>
        <w:t>Bawsey</w:t>
      </w:r>
      <w:proofErr w:type="spellEnd"/>
      <w:r w:rsidR="00EB363D">
        <w:rPr>
          <w:b w:val="0"/>
        </w:rPr>
        <w:t>/</w:t>
      </w:r>
      <w:proofErr w:type="spellStart"/>
      <w:r w:rsidR="00EB363D">
        <w:rPr>
          <w:b w:val="0"/>
        </w:rPr>
        <w:t>Leziate</w:t>
      </w:r>
      <w:proofErr w:type="spellEnd"/>
      <w:r w:rsidR="00EB363D">
        <w:rPr>
          <w:b w:val="0"/>
        </w:rPr>
        <w:t xml:space="preserve"> countryside sports and recreation area and to amend the policy to allow alternative route protection if appropriate.  These changes are required to ensure that the policy is justified and I recommend them accordingly (</w:t>
      </w:r>
      <w:r w:rsidR="00EB363D">
        <w:t>MM</w:t>
      </w:r>
      <w:r w:rsidR="00CE4CA6">
        <w:t>9</w:t>
      </w:r>
      <w:r w:rsidR="00EB363D">
        <w:rPr>
          <w:b w:val="0"/>
        </w:rPr>
        <w:t xml:space="preserve">).  Reference was made by respondents to protecting the </w:t>
      </w:r>
      <w:proofErr w:type="spellStart"/>
      <w:r w:rsidR="00EB363D">
        <w:rPr>
          <w:b w:val="0"/>
        </w:rPr>
        <w:t>Watlington</w:t>
      </w:r>
      <w:proofErr w:type="spellEnd"/>
      <w:r w:rsidR="00EB363D">
        <w:rPr>
          <w:b w:val="0"/>
        </w:rPr>
        <w:t xml:space="preserve"> to </w:t>
      </w:r>
      <w:proofErr w:type="spellStart"/>
      <w:r w:rsidR="00EB363D">
        <w:rPr>
          <w:b w:val="0"/>
        </w:rPr>
        <w:t>Wisbech</w:t>
      </w:r>
      <w:proofErr w:type="spellEnd"/>
      <w:r w:rsidR="00EB363D">
        <w:rPr>
          <w:b w:val="0"/>
        </w:rPr>
        <w:t xml:space="preserve"> route because it has been suggested that the proposed re-opening of the rail route between March and </w:t>
      </w:r>
      <w:proofErr w:type="spellStart"/>
      <w:r w:rsidR="00EB363D">
        <w:rPr>
          <w:b w:val="0"/>
        </w:rPr>
        <w:t>Wisbech</w:t>
      </w:r>
      <w:proofErr w:type="spellEnd"/>
      <w:r w:rsidR="00EB363D">
        <w:rPr>
          <w:b w:val="0"/>
        </w:rPr>
        <w:t xml:space="preserve"> could be extended to King’s Lynn.  However, such a proposal is at the very earliest stages of consideration and no viability evidence was submitted so I attach very little weight to the suggestion.  However, there is no reason to doubt that the Council will consider any potential opportunities to improve connectivity at the appropriate time and respond accordingly.</w:t>
      </w:r>
    </w:p>
    <w:p w:rsidR="00CC5421" w:rsidRPr="00CC5421" w:rsidRDefault="006E2D66" w:rsidP="00F669F9">
      <w:pPr>
        <w:pStyle w:val="DPDIntro"/>
        <w:widowControl w:val="0"/>
        <w:numPr>
          <w:ilvl w:val="0"/>
          <w:numId w:val="13"/>
        </w:numPr>
      </w:pPr>
      <w:r>
        <w:rPr>
          <w:b w:val="0"/>
        </w:rPr>
        <w:t xml:space="preserve">Policy </w:t>
      </w:r>
      <w:r w:rsidRPr="00876660">
        <w:rPr>
          <w:i/>
        </w:rPr>
        <w:t xml:space="preserve">DM14 Development Associated with the National Construction College, </w:t>
      </w:r>
      <w:proofErr w:type="spellStart"/>
      <w:r w:rsidRPr="00876660">
        <w:rPr>
          <w:i/>
        </w:rPr>
        <w:t>Bircham</w:t>
      </w:r>
      <w:proofErr w:type="spellEnd"/>
      <w:r w:rsidRPr="00876660">
        <w:rPr>
          <w:i/>
        </w:rPr>
        <w:t xml:space="preserve"> Newton and RAF </w:t>
      </w:r>
      <w:proofErr w:type="spellStart"/>
      <w:r w:rsidRPr="00876660">
        <w:rPr>
          <w:i/>
        </w:rPr>
        <w:t>Marham</w:t>
      </w:r>
      <w:proofErr w:type="spellEnd"/>
      <w:r>
        <w:t xml:space="preserve"> </w:t>
      </w:r>
      <w:r>
        <w:rPr>
          <w:b w:val="0"/>
        </w:rPr>
        <w:t>outlines the Council’s support for these significant employers which are located in the countryside and confirms that a positive approach will be adopted towards associated new development.  I agree that the role that these employers play should not be under-estimated and that opportunities to further secure their long-term retention should not be dismissed.</w:t>
      </w:r>
      <w:r w:rsidR="00CC5421">
        <w:rPr>
          <w:b w:val="0"/>
        </w:rPr>
        <w:t xml:space="preserve">  However, the Council is right to ensure that any development is appropriate to both the location and with regard to the existing uses.  No evidence was submitted that would lead me to conclude that a significant relaxation in the Council’s </w:t>
      </w:r>
      <w:r w:rsidR="00453360">
        <w:rPr>
          <w:b w:val="0"/>
        </w:rPr>
        <w:t>stance</w:t>
      </w:r>
      <w:r w:rsidR="00CC5421">
        <w:rPr>
          <w:b w:val="0"/>
        </w:rPr>
        <w:t xml:space="preserve"> would be justified at this time.  Nevertheless greater clarity is required regarding the Council’s approach and consequently it is recommended that the advice in policy DM14 about enabling development and also in the supporting text about the evidence required to support a planning application, are both strengthened (</w:t>
      </w:r>
      <w:r w:rsidR="00CC5421">
        <w:t>MM</w:t>
      </w:r>
      <w:r w:rsidR="00CE4CA6">
        <w:t>10</w:t>
      </w:r>
      <w:r w:rsidR="00CC5421">
        <w:rPr>
          <w:b w:val="0"/>
        </w:rPr>
        <w:t>).</w:t>
      </w:r>
    </w:p>
    <w:p w:rsidR="00B66BF4" w:rsidRPr="00CB554A" w:rsidRDefault="00B66BF4" w:rsidP="00F669F9">
      <w:pPr>
        <w:pStyle w:val="DPDIntro"/>
        <w:widowControl w:val="0"/>
        <w:numPr>
          <w:ilvl w:val="0"/>
          <w:numId w:val="13"/>
        </w:numPr>
      </w:pPr>
      <w:r>
        <w:rPr>
          <w:b w:val="0"/>
        </w:rPr>
        <w:t xml:space="preserve">Concerns were expressed regarding the lack of detail in policy </w:t>
      </w:r>
      <w:r w:rsidRPr="00876660">
        <w:rPr>
          <w:i/>
        </w:rPr>
        <w:t>DM15 Environment, Design and Amenity</w:t>
      </w:r>
      <w:r>
        <w:t xml:space="preserve"> </w:t>
      </w:r>
      <w:r w:rsidRPr="00B66BF4">
        <w:rPr>
          <w:b w:val="0"/>
        </w:rPr>
        <w:t>which establishes the broad principles of design to be taken into account</w:t>
      </w:r>
      <w:r>
        <w:rPr>
          <w:b w:val="0"/>
        </w:rPr>
        <w:t xml:space="preserve"> in the consideration of a planning application</w:t>
      </w:r>
      <w:r w:rsidRPr="00B66BF4">
        <w:rPr>
          <w:b w:val="0"/>
        </w:rPr>
        <w:t>.</w:t>
      </w:r>
      <w:r>
        <w:rPr>
          <w:b w:val="0"/>
        </w:rPr>
        <w:t xml:space="preserve">  Whilst I understand those concerns the Council states that it will seek specialist advice, for example in terms of noise, air quality and contamination.  On balance I consider the Council’s approach to be sound because the inclusion of a wide range of ‘environmental’ requirements to be applied to a wide range of potential development types would make the policy unwieldy.  I am also mindful that recognised standards in such matters are often subject to change which it would be difficult to acknowledge within the policy.</w:t>
      </w:r>
      <w:r w:rsidR="00727363">
        <w:rPr>
          <w:b w:val="0"/>
        </w:rPr>
        <w:t xml:space="preserve">  However, it is important that appropriate weight is attached to the heritage impact of any proposed development and therefore it is recommended that policy DM15 </w:t>
      </w:r>
      <w:r w:rsidR="00727363" w:rsidRPr="00CB554A">
        <w:rPr>
          <w:b w:val="0"/>
        </w:rPr>
        <w:t>includes heritage impact as an additional factor to be considered (</w:t>
      </w:r>
      <w:r w:rsidR="00727363" w:rsidRPr="00CB554A">
        <w:t>MM62</w:t>
      </w:r>
      <w:r w:rsidR="00727363" w:rsidRPr="00CB554A">
        <w:rPr>
          <w:b w:val="0"/>
        </w:rPr>
        <w:t>).</w:t>
      </w:r>
    </w:p>
    <w:p w:rsidR="00727363" w:rsidRPr="00727363" w:rsidRDefault="00CB554A" w:rsidP="00F669F9">
      <w:pPr>
        <w:pStyle w:val="DPDIntro"/>
        <w:widowControl w:val="0"/>
        <w:numPr>
          <w:ilvl w:val="0"/>
          <w:numId w:val="13"/>
        </w:numPr>
      </w:pPr>
      <w:r w:rsidRPr="00CB554A">
        <w:rPr>
          <w:b w:val="0"/>
        </w:rPr>
        <w:t>Policy</w:t>
      </w:r>
      <w:r w:rsidRPr="00CB554A">
        <w:t xml:space="preserve"> </w:t>
      </w:r>
      <w:r w:rsidRPr="00876660">
        <w:rPr>
          <w:i/>
        </w:rPr>
        <w:t xml:space="preserve">DM16 Provision of Recreational Open </w:t>
      </w:r>
      <w:r w:rsidR="00CA50F7">
        <w:rPr>
          <w:i/>
        </w:rPr>
        <w:t>S</w:t>
      </w:r>
      <w:r w:rsidRPr="00876660">
        <w:rPr>
          <w:i/>
        </w:rPr>
        <w:t>pace for Residential Developments</w:t>
      </w:r>
      <w:r w:rsidRPr="00CB554A">
        <w:rPr>
          <w:b w:val="0"/>
        </w:rPr>
        <w:t xml:space="preserve"> establishes the open space requirements of the Council.  Core Strategy policy CS14 requires the provision of green infrastructure (reinforced by SADMPP policy DM19).  </w:t>
      </w:r>
      <w:r w:rsidR="00A70E24" w:rsidRPr="00CB554A">
        <w:rPr>
          <w:b w:val="0"/>
        </w:rPr>
        <w:t xml:space="preserve">In the interests of clarity the Council is proposing to amend the policy to make a distinction between the requirements for sites of 20-99 dwellings and sites of 100 units or more.  This reflects the most appropriate strategy to </w:t>
      </w:r>
      <w:r w:rsidR="00CA50F7">
        <w:rPr>
          <w:b w:val="0"/>
        </w:rPr>
        <w:t>secure the provision of appropriate open space</w:t>
      </w:r>
      <w:r w:rsidR="00A70E24" w:rsidRPr="00CB554A">
        <w:rPr>
          <w:b w:val="0"/>
        </w:rPr>
        <w:t xml:space="preserve"> and therefore</w:t>
      </w:r>
      <w:r w:rsidR="00727363" w:rsidRPr="00CB554A">
        <w:rPr>
          <w:b w:val="0"/>
        </w:rPr>
        <w:t xml:space="preserve"> </w:t>
      </w:r>
      <w:r w:rsidR="00727363">
        <w:t>MM63</w:t>
      </w:r>
      <w:r w:rsidR="00727363" w:rsidRPr="00CB554A">
        <w:rPr>
          <w:b w:val="0"/>
        </w:rPr>
        <w:t xml:space="preserve"> is recommended.</w:t>
      </w:r>
      <w:r w:rsidR="00A70E24" w:rsidRPr="00CB554A">
        <w:rPr>
          <w:b w:val="0"/>
        </w:rPr>
        <w:t xml:space="preserve"> </w:t>
      </w:r>
    </w:p>
    <w:p w:rsidR="001D4ADA" w:rsidRPr="001D4ADA" w:rsidRDefault="00A70E24" w:rsidP="00F669F9">
      <w:pPr>
        <w:pStyle w:val="DPDIntro"/>
        <w:widowControl w:val="0"/>
        <w:numPr>
          <w:ilvl w:val="0"/>
          <w:numId w:val="13"/>
        </w:numPr>
      </w:pPr>
      <w:r w:rsidRPr="00727363">
        <w:rPr>
          <w:b w:val="0"/>
        </w:rPr>
        <w:t xml:space="preserve">Minimum parking standards are set out in policy </w:t>
      </w:r>
      <w:r w:rsidRPr="00876660">
        <w:rPr>
          <w:i/>
        </w:rPr>
        <w:t xml:space="preserve">DM17 Parking Provision in </w:t>
      </w:r>
      <w:r w:rsidRPr="00876660">
        <w:rPr>
          <w:i/>
        </w:rPr>
        <w:lastRenderedPageBreak/>
        <w:t>New Development</w:t>
      </w:r>
      <w:r w:rsidRPr="00727363">
        <w:rPr>
          <w:b w:val="0"/>
        </w:rPr>
        <w:t>.  The standards derive from the Norfolk Parking Standards and no substantive evidence was submitted to demonstrate that the Council should be taking a different approach</w:t>
      </w:r>
      <w:r w:rsidR="001D4ADA" w:rsidRPr="00727363">
        <w:rPr>
          <w:b w:val="0"/>
        </w:rPr>
        <w:t>.  Concerns were expressed regarding the non-inclusion of garages under 7m x 3m</w:t>
      </w:r>
      <w:r w:rsidR="0076042F" w:rsidRPr="00727363">
        <w:rPr>
          <w:b w:val="0"/>
        </w:rPr>
        <w:t xml:space="preserve"> in size</w:t>
      </w:r>
      <w:r w:rsidR="001D4ADA" w:rsidRPr="00727363">
        <w:rPr>
          <w:b w:val="0"/>
        </w:rPr>
        <w:t xml:space="preserve">.  The Council suggests that garages of this relatively small size are normally used for domestic storage and no evidence was submitted that would lead me to conclude that the Council is incorrect.  In the interests of clarity the Council is proposing to amend the reference to reductions in car parking in town centre and other urban locations.  I agree with the Council’s proposal and recommend </w:t>
      </w:r>
      <w:r w:rsidR="001D4ADA">
        <w:t>MM</w:t>
      </w:r>
      <w:r w:rsidR="00CE4CA6">
        <w:t xml:space="preserve">11 </w:t>
      </w:r>
      <w:r w:rsidR="001D4ADA" w:rsidRPr="00727363">
        <w:rPr>
          <w:b w:val="0"/>
        </w:rPr>
        <w:t>accordingly.</w:t>
      </w:r>
    </w:p>
    <w:p w:rsidR="00D461A6" w:rsidRPr="00D461A6" w:rsidRDefault="0076042F" w:rsidP="00F669F9">
      <w:pPr>
        <w:pStyle w:val="DPDIntro"/>
        <w:widowControl w:val="0"/>
        <w:numPr>
          <w:ilvl w:val="0"/>
          <w:numId w:val="13"/>
        </w:numPr>
      </w:pPr>
      <w:r>
        <w:rPr>
          <w:b w:val="0"/>
        </w:rPr>
        <w:t xml:space="preserve">As referred to in paragraph </w:t>
      </w:r>
      <w:r w:rsidR="00453360">
        <w:rPr>
          <w:b w:val="0"/>
        </w:rPr>
        <w:t>3</w:t>
      </w:r>
      <w:r w:rsidR="008554AD">
        <w:rPr>
          <w:b w:val="0"/>
        </w:rPr>
        <w:t>3</w:t>
      </w:r>
      <w:r>
        <w:rPr>
          <w:b w:val="0"/>
        </w:rPr>
        <w:t xml:space="preserve"> above a</w:t>
      </w:r>
      <w:r w:rsidR="00095D0D">
        <w:rPr>
          <w:b w:val="0"/>
        </w:rPr>
        <w:t xml:space="preserve"> number of respondents voiced concerns regarding the Council’s approach to flood risk </w:t>
      </w:r>
      <w:r>
        <w:rPr>
          <w:b w:val="0"/>
        </w:rPr>
        <w:t>as</w:t>
      </w:r>
      <w:r w:rsidR="00095D0D">
        <w:rPr>
          <w:b w:val="0"/>
        </w:rPr>
        <w:t xml:space="preserve"> </w:t>
      </w:r>
      <w:r>
        <w:rPr>
          <w:b w:val="0"/>
        </w:rPr>
        <w:t xml:space="preserve">set out </w:t>
      </w:r>
      <w:r w:rsidR="00095D0D">
        <w:rPr>
          <w:b w:val="0"/>
        </w:rPr>
        <w:t>in polic</w:t>
      </w:r>
      <w:r w:rsidR="00D461A6">
        <w:rPr>
          <w:b w:val="0"/>
        </w:rPr>
        <w:t>ies</w:t>
      </w:r>
      <w:r w:rsidR="00095D0D">
        <w:rPr>
          <w:b w:val="0"/>
        </w:rPr>
        <w:t xml:space="preserve"> </w:t>
      </w:r>
      <w:r w:rsidR="00095D0D" w:rsidRPr="00876660">
        <w:rPr>
          <w:i/>
        </w:rPr>
        <w:t>DM18 Coastal Flood Risk Hazard Zone</w:t>
      </w:r>
      <w:r w:rsidR="00D461A6">
        <w:t xml:space="preserve"> </w:t>
      </w:r>
      <w:r w:rsidR="00D461A6">
        <w:rPr>
          <w:b w:val="0"/>
        </w:rPr>
        <w:t xml:space="preserve">and </w:t>
      </w:r>
      <w:r w:rsidR="00D461A6" w:rsidRPr="00876660">
        <w:rPr>
          <w:i/>
        </w:rPr>
        <w:t>DM21 Sites in Areas of Flood Risk</w:t>
      </w:r>
      <w:r w:rsidR="00D461A6">
        <w:rPr>
          <w:b w:val="0"/>
        </w:rPr>
        <w:t>.</w:t>
      </w:r>
      <w:r w:rsidR="00095D0D">
        <w:rPr>
          <w:b w:val="0"/>
        </w:rPr>
        <w:t xml:space="preserve">  Managing flood risk is a significant challenge but it is clear that the Borough Council works closely with a number of other agencies in assessing coastal processes and climate change and in drawing up appropriate policies to guide development away from areas of high flood risk.  This is an issue which is subject to regular change and there is no reason to doubt that the Council and other agencies have the necessary monitoring mechanisms in place to ensure that should there be a significant change in circumstances, appropriate action </w:t>
      </w:r>
      <w:r w:rsidR="00D461A6">
        <w:rPr>
          <w:b w:val="0"/>
        </w:rPr>
        <w:t>(</w:t>
      </w:r>
      <w:r>
        <w:rPr>
          <w:b w:val="0"/>
        </w:rPr>
        <w:t xml:space="preserve">for example </w:t>
      </w:r>
      <w:r w:rsidR="00D461A6">
        <w:rPr>
          <w:b w:val="0"/>
        </w:rPr>
        <w:t xml:space="preserve">in planning policy terms) </w:t>
      </w:r>
      <w:r w:rsidR="00095D0D">
        <w:rPr>
          <w:b w:val="0"/>
        </w:rPr>
        <w:t xml:space="preserve">could be taken. </w:t>
      </w:r>
      <w:r w:rsidR="00D461A6">
        <w:rPr>
          <w:b w:val="0"/>
        </w:rPr>
        <w:t xml:space="preserve"> I am mindful that none of the relevant bodies, including the Environment Agency (EA), expressed any substantive objection to policy DM18 or policy DM21.  With regard to the latter policy the Council is proposing to include a requirement that new dwellings should be designed in accordance with the EA/Borough Council document entitled ‘Flood Risk Design Guidance’ and I agree that this reflects the most appropriate strategy to follow</w:t>
      </w:r>
      <w:r w:rsidR="00843DAA">
        <w:rPr>
          <w:b w:val="0"/>
        </w:rPr>
        <w:t xml:space="preserve">.  The Council is also proposing to correct the northern boundary of the Coastal Flood Risk Hazard Zone as shown on Map DM18.  This is necessary in the interests of effectiveness and </w:t>
      </w:r>
      <w:r w:rsidR="00D461A6">
        <w:t>MM</w:t>
      </w:r>
      <w:r w:rsidR="00CE4CA6">
        <w:t>12 and MM15</w:t>
      </w:r>
      <w:r w:rsidR="00843DAA">
        <w:rPr>
          <w:b w:val="0"/>
        </w:rPr>
        <w:t xml:space="preserve"> are therefore recommended.</w:t>
      </w:r>
    </w:p>
    <w:p w:rsidR="004E2C9A" w:rsidRPr="00CE4CA6" w:rsidRDefault="00C31BC3" w:rsidP="00F669F9">
      <w:pPr>
        <w:pStyle w:val="DPDIntro"/>
        <w:widowControl w:val="0"/>
        <w:numPr>
          <w:ilvl w:val="0"/>
          <w:numId w:val="13"/>
        </w:numPr>
      </w:pPr>
      <w:r>
        <w:rPr>
          <w:b w:val="0"/>
        </w:rPr>
        <w:t xml:space="preserve">Policy </w:t>
      </w:r>
      <w:r w:rsidRPr="00876660">
        <w:rPr>
          <w:i/>
        </w:rPr>
        <w:t>DM19 Green Infrastructure</w:t>
      </w:r>
      <w:r>
        <w:t xml:space="preserve"> </w:t>
      </w:r>
      <w:r>
        <w:rPr>
          <w:b w:val="0"/>
        </w:rPr>
        <w:t>reflects the advice in the Council’s Green Infrastructure Strategy 2010</w:t>
      </w:r>
      <w:r>
        <w:rPr>
          <w:rStyle w:val="FootnoteReference"/>
          <w:b w:val="0"/>
        </w:rPr>
        <w:footnoteReference w:id="13"/>
      </w:r>
      <w:r>
        <w:rPr>
          <w:b w:val="0"/>
        </w:rPr>
        <w:t xml:space="preserve"> and embellishes the framework provided by CS policies CS12, CS13 and CS14.  A dogmatic approach to the provision of green infrastructure would not be appropriate because circumstances are constantly changing.  Opportunities for provision may arise unexpectedly or conversely there may be unforeseen impediments to the delivery of identified schemes.  The Council’s aspirations are clear and taken as a whole I am satisfied that the Council’s approach</w:t>
      </w:r>
      <w:r w:rsidR="004E2C9A">
        <w:rPr>
          <w:b w:val="0"/>
        </w:rPr>
        <w:t xml:space="preserve"> to the identification and delivery of green infrastructure</w:t>
      </w:r>
      <w:r>
        <w:rPr>
          <w:b w:val="0"/>
        </w:rPr>
        <w:t xml:space="preserve"> is sound.</w:t>
      </w:r>
    </w:p>
    <w:p w:rsidR="00CE4CA6" w:rsidRPr="004E2C9A" w:rsidRDefault="00376704" w:rsidP="00F669F9">
      <w:pPr>
        <w:pStyle w:val="DPDIntro"/>
        <w:widowControl w:val="0"/>
        <w:numPr>
          <w:ilvl w:val="0"/>
          <w:numId w:val="13"/>
        </w:numPr>
      </w:pPr>
      <w:r>
        <w:rPr>
          <w:b w:val="0"/>
        </w:rPr>
        <w:t>In order to strengthen the Council’s commitment to protecting and enhancing green infrastructure it is proposed to clarify and provide more detail with regards to habitats monitoring and mitigation</w:t>
      </w:r>
      <w:r w:rsidR="008554AD">
        <w:rPr>
          <w:b w:val="0"/>
        </w:rPr>
        <w:t xml:space="preserve"> (see also paragraph 8)</w:t>
      </w:r>
      <w:r>
        <w:rPr>
          <w:b w:val="0"/>
        </w:rPr>
        <w:t>.  Reference is to be made to the preparation</w:t>
      </w:r>
      <w:r w:rsidR="008554AD">
        <w:rPr>
          <w:b w:val="0"/>
        </w:rPr>
        <w:t xml:space="preserve"> and implementation</w:t>
      </w:r>
      <w:r>
        <w:rPr>
          <w:b w:val="0"/>
        </w:rPr>
        <w:t xml:space="preserve"> of </w:t>
      </w:r>
      <w:r w:rsidR="008554AD">
        <w:rPr>
          <w:b w:val="0"/>
        </w:rPr>
        <w:t xml:space="preserve">both </w:t>
      </w:r>
      <w:r>
        <w:rPr>
          <w:b w:val="0"/>
        </w:rPr>
        <w:t>a Green Infrastructure Delivery Plan and a Monitoring and Mitigation Strategy.</w:t>
      </w:r>
      <w:r w:rsidR="008554AD">
        <w:rPr>
          <w:b w:val="0"/>
        </w:rPr>
        <w:t xml:space="preserve">  A Co-ordination Panel is to be established to oversee the provision and monitoring of green infrastructure.</w:t>
      </w:r>
      <w:r>
        <w:rPr>
          <w:b w:val="0"/>
        </w:rPr>
        <w:t xml:space="preserve">  The changes to policy DM19</w:t>
      </w:r>
      <w:r w:rsidR="008554AD">
        <w:rPr>
          <w:b w:val="0"/>
        </w:rPr>
        <w:t xml:space="preserve"> (including its title)</w:t>
      </w:r>
      <w:r>
        <w:rPr>
          <w:b w:val="0"/>
        </w:rPr>
        <w:t xml:space="preserve"> and its supporting text are necessary in order to ensure that the Council </w:t>
      </w:r>
      <w:r>
        <w:rPr>
          <w:b w:val="0"/>
        </w:rPr>
        <w:lastRenderedPageBreak/>
        <w:t>is pursuing the most appropriate</w:t>
      </w:r>
      <w:r w:rsidR="00876660">
        <w:rPr>
          <w:b w:val="0"/>
        </w:rPr>
        <w:t xml:space="preserve"> and effective </w:t>
      </w:r>
      <w:r>
        <w:rPr>
          <w:b w:val="0"/>
        </w:rPr>
        <w:t>strategy</w:t>
      </w:r>
      <w:r w:rsidR="00876660">
        <w:rPr>
          <w:b w:val="0"/>
        </w:rPr>
        <w:t xml:space="preserve"> which is consistent with national policy.  </w:t>
      </w:r>
      <w:r w:rsidR="00CE4CA6">
        <w:t>MM13</w:t>
      </w:r>
      <w:r w:rsidR="00876660">
        <w:t xml:space="preserve"> </w:t>
      </w:r>
      <w:r w:rsidR="00876660">
        <w:rPr>
          <w:b w:val="0"/>
        </w:rPr>
        <w:t>is therefore recommended.</w:t>
      </w:r>
      <w:r w:rsidR="008554AD">
        <w:rPr>
          <w:b w:val="0"/>
        </w:rPr>
        <w:t xml:space="preserve">  For the avoidance of doubt I am recommending the wording as set out in the </w:t>
      </w:r>
      <w:proofErr w:type="spellStart"/>
      <w:r w:rsidR="008554AD">
        <w:rPr>
          <w:b w:val="0"/>
        </w:rPr>
        <w:t>SoCG</w:t>
      </w:r>
      <w:proofErr w:type="spellEnd"/>
      <w:r w:rsidR="008554AD">
        <w:rPr>
          <w:b w:val="0"/>
        </w:rPr>
        <w:t xml:space="preserve"> that was signed by all relevant parties</w:t>
      </w:r>
      <w:r w:rsidR="008554AD">
        <w:rPr>
          <w:rStyle w:val="FootnoteReference"/>
          <w:b w:val="0"/>
        </w:rPr>
        <w:footnoteReference w:id="14"/>
      </w:r>
      <w:r w:rsidR="008554AD">
        <w:rPr>
          <w:b w:val="0"/>
        </w:rPr>
        <w:t>.</w:t>
      </w:r>
    </w:p>
    <w:p w:rsidR="00CE4CA6" w:rsidRPr="004E2C9A" w:rsidRDefault="004E2C9A" w:rsidP="00F669F9">
      <w:pPr>
        <w:pStyle w:val="DPDIntro"/>
        <w:widowControl w:val="0"/>
        <w:numPr>
          <w:ilvl w:val="0"/>
          <w:numId w:val="13"/>
        </w:numPr>
      </w:pPr>
      <w:r w:rsidRPr="00876660">
        <w:rPr>
          <w:b w:val="0"/>
        </w:rPr>
        <w:t>The Council’s approach to renewable energy is encapsulated in CS policy CS08 and in SADMP</w:t>
      </w:r>
      <w:r w:rsidR="0076042F" w:rsidRPr="00876660">
        <w:rPr>
          <w:b w:val="0"/>
        </w:rPr>
        <w:t>P</w:t>
      </w:r>
      <w:r w:rsidRPr="00876660">
        <w:rPr>
          <w:b w:val="0"/>
        </w:rPr>
        <w:t xml:space="preserve"> policy </w:t>
      </w:r>
      <w:r w:rsidRPr="00876660">
        <w:rPr>
          <w:i/>
        </w:rPr>
        <w:t>DM20 Renewable Energy</w:t>
      </w:r>
      <w:r w:rsidRPr="00876660">
        <w:rPr>
          <w:b w:val="0"/>
        </w:rPr>
        <w:t>.  I am satisfied that, together with national advice on the matter, sufficient guidance is provided regarding the provision of sustainable development leading to a reduction in greenhouse gas emissions and the increased generation of energy from renewable sources.</w:t>
      </w:r>
      <w:r w:rsidR="00876660" w:rsidRPr="00876660">
        <w:rPr>
          <w:b w:val="0"/>
        </w:rPr>
        <w:t xml:space="preserve">  However, in order to ensure consistency with current national advice it is proposed to clarify that policy DM20 does not apply to proposals for wind energy development.  </w:t>
      </w:r>
      <w:r w:rsidR="00CE4CA6">
        <w:t>MM14</w:t>
      </w:r>
      <w:r w:rsidR="00876660">
        <w:rPr>
          <w:b w:val="0"/>
        </w:rPr>
        <w:t xml:space="preserve"> is recommended accordingly.</w:t>
      </w:r>
    </w:p>
    <w:p w:rsidR="00417635" w:rsidRPr="008554AD" w:rsidRDefault="004D7F0B" w:rsidP="00F669F9">
      <w:pPr>
        <w:pStyle w:val="DPDIntro"/>
        <w:widowControl w:val="0"/>
        <w:numPr>
          <w:ilvl w:val="0"/>
          <w:numId w:val="13"/>
        </w:numPr>
      </w:pPr>
      <w:r>
        <w:rPr>
          <w:b w:val="0"/>
        </w:rPr>
        <w:t xml:space="preserve">Policy </w:t>
      </w:r>
      <w:r w:rsidRPr="00876660">
        <w:rPr>
          <w:i/>
        </w:rPr>
        <w:t>DM22 Protection of Local Open Space</w:t>
      </w:r>
      <w:r>
        <w:t xml:space="preserve"> </w:t>
      </w:r>
      <w:r w:rsidR="0076042F" w:rsidRPr="0076042F">
        <w:rPr>
          <w:b w:val="0"/>
        </w:rPr>
        <w:t>establishes</w:t>
      </w:r>
      <w:r>
        <w:rPr>
          <w:b w:val="0"/>
        </w:rPr>
        <w:t xml:space="preserve"> the Council’s approach to assessing the value of open space</w:t>
      </w:r>
      <w:r w:rsidRPr="004D7F0B">
        <w:rPr>
          <w:b w:val="0"/>
        </w:rPr>
        <w:t xml:space="preserve"> </w:t>
      </w:r>
      <w:r>
        <w:rPr>
          <w:b w:val="0"/>
        </w:rPr>
        <w:t xml:space="preserve">and affords adequate protection to such areas.  I agree </w:t>
      </w:r>
      <w:r w:rsidR="0076042F">
        <w:rPr>
          <w:b w:val="0"/>
        </w:rPr>
        <w:t xml:space="preserve">with some respondents </w:t>
      </w:r>
      <w:r>
        <w:rPr>
          <w:b w:val="0"/>
        </w:rPr>
        <w:t xml:space="preserve">that there are ‘links’ between this policy and policies DM16 and DM19 on the provision of open space and green infrastructure but individually they are all </w:t>
      </w:r>
      <w:r w:rsidR="0076042F">
        <w:rPr>
          <w:b w:val="0"/>
        </w:rPr>
        <w:t>justified</w:t>
      </w:r>
      <w:r>
        <w:rPr>
          <w:b w:val="0"/>
        </w:rPr>
        <w:t xml:space="preserve"> and in terms of soundness there would be no reason</w:t>
      </w:r>
      <w:r w:rsidR="0076042F">
        <w:rPr>
          <w:b w:val="0"/>
        </w:rPr>
        <w:t xml:space="preserve"> to</w:t>
      </w:r>
      <w:r>
        <w:rPr>
          <w:b w:val="0"/>
        </w:rPr>
        <w:t xml:space="preserve"> draw them together.</w:t>
      </w:r>
    </w:p>
    <w:p w:rsidR="008554AD" w:rsidRPr="008554AD" w:rsidRDefault="008554AD" w:rsidP="008554AD">
      <w:pPr>
        <w:pStyle w:val="DPDIntro"/>
        <w:widowControl w:val="0"/>
      </w:pPr>
      <w:r>
        <w:t>Conclusion on Issue 6</w:t>
      </w:r>
    </w:p>
    <w:p w:rsidR="007771E6" w:rsidRPr="007771E6" w:rsidRDefault="00417635" w:rsidP="00417635">
      <w:pPr>
        <w:pStyle w:val="DPDIntro"/>
        <w:widowControl w:val="0"/>
        <w:numPr>
          <w:ilvl w:val="0"/>
          <w:numId w:val="13"/>
        </w:numPr>
      </w:pPr>
      <w:r w:rsidRPr="003E26AE">
        <w:rPr>
          <w:b w:val="0"/>
        </w:rPr>
        <w:t xml:space="preserve">I have considered all the DM policies </w:t>
      </w:r>
      <w:r w:rsidR="00D21C18" w:rsidRPr="003E26AE">
        <w:rPr>
          <w:b w:val="0"/>
        </w:rPr>
        <w:t xml:space="preserve">(DM1 to DM22) </w:t>
      </w:r>
      <w:r w:rsidRPr="003E26AE">
        <w:rPr>
          <w:b w:val="0"/>
        </w:rPr>
        <w:t>and</w:t>
      </w:r>
      <w:r w:rsidR="00D21C18" w:rsidRPr="003E26AE">
        <w:rPr>
          <w:b w:val="0"/>
        </w:rPr>
        <w:t>,</w:t>
      </w:r>
      <w:r w:rsidRPr="003E26AE">
        <w:rPr>
          <w:b w:val="0"/>
        </w:rPr>
        <w:t xml:space="preserve"> subject to the changes that I refer to in the paragraphs above,</w:t>
      </w:r>
      <w:r w:rsidR="00D21C18" w:rsidRPr="003E26AE">
        <w:rPr>
          <w:b w:val="0"/>
        </w:rPr>
        <w:t xml:space="preserve"> I am satisfied that they are </w:t>
      </w:r>
      <w:r w:rsidR="008554AD">
        <w:rPr>
          <w:b w:val="0"/>
        </w:rPr>
        <w:t xml:space="preserve">all </w:t>
      </w:r>
      <w:r w:rsidR="001B366B" w:rsidRPr="003E26AE">
        <w:rPr>
          <w:b w:val="0"/>
        </w:rPr>
        <w:t>justified and effective and in all other respects</w:t>
      </w:r>
      <w:r w:rsidR="00D21C18" w:rsidRPr="003E26AE">
        <w:rPr>
          <w:b w:val="0"/>
        </w:rPr>
        <w:t xml:space="preserve"> sound.</w:t>
      </w:r>
      <w:r w:rsidRPr="003E26AE">
        <w:rPr>
          <w:b w:val="0"/>
        </w:rPr>
        <w:t xml:space="preserve"> </w:t>
      </w:r>
      <w:r w:rsidR="004E2C9A" w:rsidRPr="003E26AE">
        <w:rPr>
          <w:b w:val="0"/>
        </w:rPr>
        <w:t xml:space="preserve"> </w:t>
      </w:r>
      <w:r w:rsidR="00C31BC3" w:rsidRPr="003E26AE">
        <w:rPr>
          <w:b w:val="0"/>
        </w:rPr>
        <w:t xml:space="preserve">  </w:t>
      </w:r>
      <w:r w:rsidR="00D461A6" w:rsidRPr="003E26AE">
        <w:rPr>
          <w:b w:val="0"/>
        </w:rPr>
        <w:t xml:space="preserve"> </w:t>
      </w:r>
      <w:r w:rsidR="001D4ADA" w:rsidRPr="003E26AE">
        <w:rPr>
          <w:b w:val="0"/>
        </w:rPr>
        <w:t xml:space="preserve"> </w:t>
      </w:r>
      <w:r w:rsidR="001A7A54" w:rsidRPr="003E26AE">
        <w:rPr>
          <w:b w:val="0"/>
        </w:rPr>
        <w:t xml:space="preserve">  </w:t>
      </w:r>
      <w:r w:rsidR="006E2D66" w:rsidRPr="003E26AE">
        <w:rPr>
          <w:b w:val="0"/>
        </w:rPr>
        <w:t xml:space="preserve"> </w:t>
      </w:r>
      <w:r w:rsidR="00EB363D" w:rsidRPr="003E26AE">
        <w:rPr>
          <w:b w:val="0"/>
        </w:rPr>
        <w:t xml:space="preserve"> </w:t>
      </w:r>
      <w:r w:rsidR="00B765A1" w:rsidRPr="003E26AE">
        <w:rPr>
          <w:b w:val="0"/>
        </w:rPr>
        <w:t xml:space="preserve"> </w:t>
      </w:r>
      <w:r w:rsidR="004043BE" w:rsidRPr="00B66BF4">
        <w:t xml:space="preserve"> </w:t>
      </w:r>
      <w:r w:rsidR="007771E6" w:rsidRPr="00B66BF4">
        <w:t xml:space="preserve"> </w:t>
      </w:r>
      <w:r w:rsidR="00706F45" w:rsidRPr="00B66BF4">
        <w:t xml:space="preserve"> </w:t>
      </w:r>
    </w:p>
    <w:p w:rsidR="00F669F9" w:rsidRPr="00F669F9" w:rsidRDefault="00F669F9" w:rsidP="007771E6">
      <w:pPr>
        <w:pStyle w:val="DPDIntro"/>
        <w:widowControl w:val="0"/>
      </w:pPr>
      <w:r>
        <w:t xml:space="preserve">Issue </w:t>
      </w:r>
      <w:r w:rsidR="003E26AE">
        <w:t>7</w:t>
      </w:r>
      <w:r>
        <w:t xml:space="preserve"> – Whether or not the Council’s approach to Delivery and Monitoring </w:t>
      </w:r>
      <w:r w:rsidR="00CE0A44">
        <w:t>will be</w:t>
      </w:r>
      <w:r>
        <w:t xml:space="preserve"> </w:t>
      </w:r>
      <w:r w:rsidR="001B366B">
        <w:t>Effective</w:t>
      </w:r>
      <w:r>
        <w:t>.</w:t>
      </w:r>
    </w:p>
    <w:p w:rsidR="00593B16" w:rsidRDefault="00D21C18" w:rsidP="004E5909">
      <w:pPr>
        <w:pStyle w:val="DPDIntro"/>
        <w:widowControl w:val="0"/>
        <w:numPr>
          <w:ilvl w:val="0"/>
          <w:numId w:val="13"/>
        </w:numPr>
      </w:pPr>
      <w:r w:rsidRPr="00BA321C">
        <w:rPr>
          <w:b w:val="0"/>
        </w:rPr>
        <w:t>In order for the SADMP</w:t>
      </w:r>
      <w:r w:rsidR="0076042F" w:rsidRPr="00BA321C">
        <w:rPr>
          <w:b w:val="0"/>
        </w:rPr>
        <w:t>P</w:t>
      </w:r>
      <w:r w:rsidRPr="00BA321C">
        <w:rPr>
          <w:b w:val="0"/>
        </w:rPr>
        <w:t xml:space="preserve"> to be found sound it must be effective and to test its effectiveness the document’s policies must be capable of appropriate monitoring.  The submitted Plan includes an Appendix entitled ‘Monitoring Framework’ but there is no substantive explanation of the Council’s approach</w:t>
      </w:r>
      <w:r w:rsidR="007F04C2" w:rsidRPr="00BA321C">
        <w:rPr>
          <w:b w:val="0"/>
        </w:rPr>
        <w:t xml:space="preserve"> and the Appendix appears weak</w:t>
      </w:r>
      <w:r w:rsidRPr="00BA321C">
        <w:rPr>
          <w:b w:val="0"/>
        </w:rPr>
        <w:t>.  Consequently it is proposed that a more robust explanation of the Council’s monitoring process</w:t>
      </w:r>
      <w:r w:rsidR="0076042F" w:rsidRPr="00BA321C">
        <w:rPr>
          <w:b w:val="0"/>
        </w:rPr>
        <w:t xml:space="preserve"> is </w:t>
      </w:r>
      <w:r w:rsidRPr="00BA321C">
        <w:rPr>
          <w:b w:val="0"/>
        </w:rPr>
        <w:t>included within the Appendix and that more detail is included in the Monitoring Table</w:t>
      </w:r>
      <w:r w:rsidR="007F04C2" w:rsidRPr="00BA321C">
        <w:rPr>
          <w:b w:val="0"/>
        </w:rPr>
        <w:t>.  In this way the delivery of the SADMP</w:t>
      </w:r>
      <w:r w:rsidR="0076042F" w:rsidRPr="00BA321C">
        <w:rPr>
          <w:b w:val="0"/>
        </w:rPr>
        <w:t>P</w:t>
      </w:r>
      <w:r w:rsidR="007F04C2" w:rsidRPr="00BA321C">
        <w:rPr>
          <w:b w:val="0"/>
        </w:rPr>
        <w:t xml:space="preserve"> can be properly assessed and should it be shown that circumstances have </w:t>
      </w:r>
      <w:proofErr w:type="gramStart"/>
      <w:r w:rsidR="007F04C2" w:rsidRPr="00BA321C">
        <w:rPr>
          <w:b w:val="0"/>
        </w:rPr>
        <w:t>changed</w:t>
      </w:r>
      <w:r w:rsidR="0076042F" w:rsidRPr="00BA321C">
        <w:rPr>
          <w:b w:val="0"/>
        </w:rPr>
        <w:t>,</w:t>
      </w:r>
      <w:proofErr w:type="gramEnd"/>
      <w:r w:rsidR="007F04C2" w:rsidRPr="00BA321C">
        <w:rPr>
          <w:b w:val="0"/>
        </w:rPr>
        <w:t xml:space="preserve"> the Council will be able to react in a timely manner.  For these reasons </w:t>
      </w:r>
      <w:r w:rsidR="007F04C2">
        <w:t>MM</w:t>
      </w:r>
      <w:r w:rsidR="0027459D">
        <w:t xml:space="preserve">60 </w:t>
      </w:r>
      <w:r w:rsidR="007F04C2" w:rsidRPr="00BA321C">
        <w:rPr>
          <w:b w:val="0"/>
        </w:rPr>
        <w:t>is recommended.</w:t>
      </w:r>
      <w:r w:rsidR="008554AD" w:rsidRPr="00BA321C">
        <w:rPr>
          <w:b w:val="0"/>
        </w:rPr>
        <w:t xml:space="preserve">  The consequent approach to delivery and monitoring is sound.</w:t>
      </w:r>
    </w:p>
    <w:p w:rsidR="004E5909" w:rsidRPr="004E5909" w:rsidRDefault="00377F79" w:rsidP="004E5909">
      <w:pPr>
        <w:pStyle w:val="DPDReportMainHeading"/>
      </w:pPr>
      <w:r>
        <w:t xml:space="preserve">Assessment of </w:t>
      </w:r>
      <w:r w:rsidR="00663F5A">
        <w:t xml:space="preserve">Legal </w:t>
      </w:r>
      <w:r>
        <w:t>Compliance</w:t>
      </w:r>
    </w:p>
    <w:p w:rsidR="00103063" w:rsidRPr="00BE00A6" w:rsidRDefault="00663F5A" w:rsidP="00184BCB">
      <w:pPr>
        <w:pStyle w:val="DPDIntro"/>
        <w:widowControl w:val="0"/>
        <w:numPr>
          <w:ilvl w:val="0"/>
          <w:numId w:val="13"/>
        </w:numPr>
        <w:rPr>
          <w:b w:val="0"/>
        </w:rPr>
      </w:pPr>
      <w:r w:rsidRPr="00BE00A6">
        <w:rPr>
          <w:b w:val="0"/>
        </w:rPr>
        <w:t xml:space="preserve">My examination of the compliance of the </w:t>
      </w:r>
      <w:r w:rsidR="00DE4ACA" w:rsidRPr="00BE00A6">
        <w:rPr>
          <w:b w:val="0"/>
        </w:rPr>
        <w:t>Plan</w:t>
      </w:r>
      <w:r w:rsidRPr="00BE00A6">
        <w:rPr>
          <w:b w:val="0"/>
        </w:rPr>
        <w:t xml:space="preserve"> with the legal requirements is summarised in the table below.  I conclude that the </w:t>
      </w:r>
      <w:r w:rsidR="00DE4ACA" w:rsidRPr="00BE00A6">
        <w:rPr>
          <w:b w:val="0"/>
        </w:rPr>
        <w:t>Plan</w:t>
      </w:r>
      <w:r w:rsidRPr="00BE00A6">
        <w:rPr>
          <w:b w:val="0"/>
        </w:rPr>
        <w:t xml:space="preserve"> meets them all.</w:t>
      </w:r>
    </w:p>
    <w:tbl>
      <w:tblPr>
        <w:tblW w:w="9360" w:type="dxa"/>
        <w:tblInd w:w="1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000" w:firstRow="0" w:lastRow="0" w:firstColumn="0" w:lastColumn="0" w:noHBand="0" w:noVBand="0"/>
      </w:tblPr>
      <w:tblGrid>
        <w:gridCol w:w="3240"/>
        <w:gridCol w:w="6120"/>
      </w:tblGrid>
      <w:tr w:rsidR="00663F5A" w:rsidTr="00617932">
        <w:trPr>
          <w:trHeight w:val="476"/>
        </w:trPr>
        <w:tc>
          <w:tcPr>
            <w:tcW w:w="9360" w:type="dxa"/>
            <w:gridSpan w:val="2"/>
          </w:tcPr>
          <w:p w:rsidR="00663F5A" w:rsidRPr="006A7DE0" w:rsidRDefault="00663F5A" w:rsidP="00CD436C">
            <w:pPr>
              <w:pStyle w:val="Noindent"/>
              <w:tabs>
                <w:tab w:val="clear" w:pos="426"/>
              </w:tabs>
              <w:rPr>
                <w:b/>
                <w:color w:val="FF6600"/>
                <w:sz w:val="24"/>
                <w:szCs w:val="24"/>
              </w:rPr>
            </w:pPr>
            <w:r>
              <w:rPr>
                <w:b/>
                <w:sz w:val="24"/>
                <w:szCs w:val="24"/>
              </w:rPr>
              <w:t>LEGAL REQUIREMENTS</w:t>
            </w:r>
          </w:p>
        </w:tc>
      </w:tr>
      <w:tr w:rsidR="00663F5A" w:rsidTr="00617932">
        <w:trPr>
          <w:trHeight w:val="359"/>
        </w:trPr>
        <w:tc>
          <w:tcPr>
            <w:tcW w:w="3240" w:type="dxa"/>
          </w:tcPr>
          <w:p w:rsidR="00663F5A" w:rsidRDefault="00663F5A" w:rsidP="009479DB">
            <w:pPr>
              <w:jc w:val="left"/>
            </w:pPr>
            <w:r>
              <w:t>Local Development Scheme (LDS)</w:t>
            </w:r>
          </w:p>
        </w:tc>
        <w:tc>
          <w:tcPr>
            <w:tcW w:w="6120" w:type="dxa"/>
          </w:tcPr>
          <w:p w:rsidR="00663F5A" w:rsidRDefault="00663F5A" w:rsidP="000A7180">
            <w:r>
              <w:t xml:space="preserve">The </w:t>
            </w:r>
            <w:r w:rsidR="001C7FD9">
              <w:t>SADMPP</w:t>
            </w:r>
            <w:r>
              <w:t xml:space="preserve"> is identified within the approved LDS </w:t>
            </w:r>
            <w:r w:rsidR="000A7180">
              <w:t>for November 2014 to 2016</w:t>
            </w:r>
            <w:r>
              <w:t xml:space="preserve"> which sets out an </w:t>
            </w:r>
            <w:r>
              <w:lastRenderedPageBreak/>
              <w:t xml:space="preserve">expected adoption date of </w:t>
            </w:r>
            <w:r w:rsidR="000A7180">
              <w:t>December 2015.</w:t>
            </w:r>
            <w:r>
              <w:t xml:space="preserve"> </w:t>
            </w:r>
            <w:r w:rsidR="00941685">
              <w:t xml:space="preserve">The </w:t>
            </w:r>
            <w:r w:rsidR="00544366" w:rsidRPr="001C7FD9">
              <w:t>Plan’s</w:t>
            </w:r>
            <w:r w:rsidR="00941685">
              <w:t xml:space="preserve"> content and timing</w:t>
            </w:r>
            <w:r w:rsidR="000A7180">
              <w:t xml:space="preserve"> (up to the start of the hearing sessions)</w:t>
            </w:r>
            <w:r w:rsidR="00941685">
              <w:t xml:space="preserve"> </w:t>
            </w:r>
            <w:r w:rsidR="000A7180">
              <w:t>have been</w:t>
            </w:r>
            <w:r w:rsidR="00941685">
              <w:t xml:space="preserve"> compliant with the </w:t>
            </w:r>
            <w:r>
              <w:t xml:space="preserve">LDS. </w:t>
            </w:r>
          </w:p>
        </w:tc>
      </w:tr>
      <w:tr w:rsidR="00663F5A" w:rsidTr="00617932">
        <w:trPr>
          <w:trHeight w:val="480"/>
        </w:trPr>
        <w:tc>
          <w:tcPr>
            <w:tcW w:w="3240" w:type="dxa"/>
          </w:tcPr>
          <w:p w:rsidR="00663F5A" w:rsidRDefault="00663F5A" w:rsidP="009479DB">
            <w:pPr>
              <w:jc w:val="left"/>
            </w:pPr>
            <w:r>
              <w:lastRenderedPageBreak/>
              <w:t>Statement of Community Involvement (SCI) and relevant regulations</w:t>
            </w:r>
          </w:p>
        </w:tc>
        <w:tc>
          <w:tcPr>
            <w:tcW w:w="6120" w:type="dxa"/>
          </w:tcPr>
          <w:p w:rsidR="00663F5A" w:rsidRDefault="00663F5A" w:rsidP="000A7180">
            <w:r>
              <w:t xml:space="preserve">The SCI was adopted in </w:t>
            </w:r>
            <w:r w:rsidR="000A7180">
              <w:t xml:space="preserve">January 2007 </w:t>
            </w:r>
            <w:r>
              <w:t>and consultation has been compliant with the requirements therein, including the c</w:t>
            </w:r>
            <w:r w:rsidRPr="000E72D7">
              <w:t xml:space="preserve">onsultation on </w:t>
            </w:r>
            <w:r>
              <w:t xml:space="preserve">the </w:t>
            </w:r>
            <w:r w:rsidRPr="000E72D7">
              <w:t>post</w:t>
            </w:r>
            <w:r>
              <w:t>-submission</w:t>
            </w:r>
            <w:r w:rsidRPr="000E72D7">
              <w:t xml:space="preserve"> </w:t>
            </w:r>
            <w:r>
              <w:t xml:space="preserve">proposed </w:t>
            </w:r>
            <w:r w:rsidR="00680D7E">
              <w:t xml:space="preserve">‘main modification’ </w:t>
            </w:r>
            <w:r w:rsidRPr="000E72D7">
              <w:t>changes</w:t>
            </w:r>
            <w:r>
              <w:t xml:space="preserve"> (</w:t>
            </w:r>
            <w:r w:rsidR="00377F79">
              <w:t>MM</w:t>
            </w:r>
            <w:r>
              <w:t xml:space="preserve">) </w:t>
            </w:r>
          </w:p>
        </w:tc>
      </w:tr>
      <w:tr w:rsidR="00663F5A" w:rsidTr="00617932">
        <w:trPr>
          <w:trHeight w:val="476"/>
        </w:trPr>
        <w:tc>
          <w:tcPr>
            <w:tcW w:w="3240" w:type="dxa"/>
          </w:tcPr>
          <w:p w:rsidR="00663F5A" w:rsidRDefault="00663F5A" w:rsidP="009479DB">
            <w:pPr>
              <w:jc w:val="left"/>
            </w:pPr>
            <w:r>
              <w:t>Sustainability Appraisal (SA)</w:t>
            </w:r>
          </w:p>
        </w:tc>
        <w:tc>
          <w:tcPr>
            <w:tcW w:w="6120" w:type="dxa"/>
          </w:tcPr>
          <w:p w:rsidR="00663F5A" w:rsidRDefault="002238D7" w:rsidP="00CD436C">
            <w:r>
              <w:t>SA has been carried out</w:t>
            </w:r>
            <w:r w:rsidR="000A7180">
              <w:t xml:space="preserve"> (including in relation to the MM</w:t>
            </w:r>
            <w:r w:rsidR="000367DD">
              <w:t>s</w:t>
            </w:r>
            <w:r w:rsidR="000A7180">
              <w:t>)</w:t>
            </w:r>
            <w:r>
              <w:t xml:space="preserve"> </w:t>
            </w:r>
            <w:r w:rsidR="00663F5A">
              <w:t>and is adequate.</w:t>
            </w:r>
          </w:p>
        </w:tc>
      </w:tr>
      <w:tr w:rsidR="00663F5A" w:rsidTr="00617932">
        <w:trPr>
          <w:trHeight w:val="476"/>
        </w:trPr>
        <w:tc>
          <w:tcPr>
            <w:tcW w:w="3240" w:type="dxa"/>
          </w:tcPr>
          <w:p w:rsidR="00663F5A" w:rsidRDefault="00663F5A" w:rsidP="009479DB">
            <w:pPr>
              <w:jc w:val="left"/>
            </w:pPr>
            <w:r>
              <w:t>Appropriate Assessment (AA)</w:t>
            </w:r>
          </w:p>
        </w:tc>
        <w:tc>
          <w:tcPr>
            <w:tcW w:w="6120" w:type="dxa"/>
          </w:tcPr>
          <w:p w:rsidR="00663F5A" w:rsidRDefault="00663F5A" w:rsidP="0076159B">
            <w:r>
              <w:t xml:space="preserve">The Habitats Regulations </w:t>
            </w:r>
            <w:r w:rsidR="0076159B">
              <w:t>Assessment (September 2014 and updated version of September 2015)</w:t>
            </w:r>
            <w:r>
              <w:t xml:space="preserve"> </w:t>
            </w:r>
            <w:r w:rsidR="0076159B">
              <w:t>includes an AA</w:t>
            </w:r>
            <w:r w:rsidR="00F23471">
              <w:t xml:space="preserve"> which is satisfactory.  There is no objection from Natural England.</w:t>
            </w:r>
            <w:r w:rsidR="00167813">
              <w:t xml:space="preserve"> </w:t>
            </w:r>
          </w:p>
        </w:tc>
      </w:tr>
      <w:tr w:rsidR="00663F5A" w:rsidTr="00617932">
        <w:trPr>
          <w:trHeight w:val="476"/>
        </w:trPr>
        <w:tc>
          <w:tcPr>
            <w:tcW w:w="3240" w:type="dxa"/>
          </w:tcPr>
          <w:p w:rsidR="00663F5A" w:rsidRDefault="00663F5A" w:rsidP="009479DB">
            <w:pPr>
              <w:jc w:val="left"/>
            </w:pPr>
            <w:r>
              <w:t>National Policy</w:t>
            </w:r>
          </w:p>
        </w:tc>
        <w:tc>
          <w:tcPr>
            <w:tcW w:w="6120" w:type="dxa"/>
          </w:tcPr>
          <w:p w:rsidR="00663F5A" w:rsidRDefault="00663F5A" w:rsidP="001C7FD9">
            <w:r>
              <w:t xml:space="preserve">The </w:t>
            </w:r>
            <w:r w:rsidR="001C7FD9">
              <w:t>Plan</w:t>
            </w:r>
            <w:r>
              <w:t xml:space="preserve"> complies with national policy </w:t>
            </w:r>
            <w:r w:rsidRPr="000A7180">
              <w:t xml:space="preserve">except where indicated and </w:t>
            </w:r>
            <w:r w:rsidR="00463660" w:rsidRPr="000A7180">
              <w:t xml:space="preserve">modifications </w:t>
            </w:r>
            <w:r w:rsidRPr="000A7180">
              <w:t>are recommended.</w:t>
            </w:r>
          </w:p>
        </w:tc>
      </w:tr>
      <w:tr w:rsidR="006C1E37" w:rsidTr="00617932">
        <w:trPr>
          <w:trHeight w:val="476"/>
        </w:trPr>
        <w:tc>
          <w:tcPr>
            <w:tcW w:w="3240" w:type="dxa"/>
          </w:tcPr>
          <w:p w:rsidR="006C1E37" w:rsidRDefault="006C1E37" w:rsidP="00CD436C">
            <w:r>
              <w:t xml:space="preserve">2004 Act </w:t>
            </w:r>
            <w:r w:rsidR="00633A61">
              <w:t>(as amended) and 2012 Regulation</w:t>
            </w:r>
            <w:r w:rsidR="00103063">
              <w:t>s</w:t>
            </w:r>
            <w:r w:rsidR="00633A61">
              <w:t>.</w:t>
            </w:r>
          </w:p>
        </w:tc>
        <w:tc>
          <w:tcPr>
            <w:tcW w:w="6120" w:type="dxa"/>
          </w:tcPr>
          <w:p w:rsidR="006C1E37" w:rsidRPr="000E72D7" w:rsidRDefault="006C1E37" w:rsidP="001C7FD9">
            <w:r>
              <w:t xml:space="preserve">The </w:t>
            </w:r>
            <w:r w:rsidR="001B06E4" w:rsidRPr="00EA5B63">
              <w:t>Plan</w:t>
            </w:r>
            <w:r w:rsidRPr="00EA5B63">
              <w:t xml:space="preserve"> </w:t>
            </w:r>
            <w:r>
              <w:t>complies with the Act and the Regulations.</w:t>
            </w:r>
          </w:p>
        </w:tc>
      </w:tr>
    </w:tbl>
    <w:p w:rsidR="00843DAA" w:rsidRDefault="00843DAA" w:rsidP="00823A37">
      <w:pPr>
        <w:pStyle w:val="DPDReportMainHeading"/>
      </w:pPr>
    </w:p>
    <w:p w:rsidR="00A51406" w:rsidRPr="00A51406" w:rsidRDefault="00D33FF0" w:rsidP="008554AD">
      <w:pPr>
        <w:pStyle w:val="DPDReportMainHeading"/>
      </w:pPr>
      <w:r w:rsidRPr="00823A37">
        <w:t>Overall Conclusion and Recommendation</w:t>
      </w:r>
    </w:p>
    <w:p w:rsidR="00A07A02" w:rsidRPr="001C2441" w:rsidRDefault="001B14A5" w:rsidP="004811F2">
      <w:pPr>
        <w:pStyle w:val="DPDIntro"/>
        <w:widowControl w:val="0"/>
        <w:numPr>
          <w:ilvl w:val="0"/>
          <w:numId w:val="13"/>
        </w:numPr>
        <w:rPr>
          <w:b w:val="0"/>
        </w:rPr>
      </w:pPr>
      <w:r w:rsidRPr="001C2441">
        <w:rPr>
          <w:b w:val="0"/>
        </w:rPr>
        <w:t xml:space="preserve">The </w:t>
      </w:r>
      <w:r w:rsidR="0020757A" w:rsidRPr="001C2441">
        <w:rPr>
          <w:b w:val="0"/>
        </w:rPr>
        <w:t>P</w:t>
      </w:r>
      <w:r w:rsidRPr="001C2441">
        <w:rPr>
          <w:b w:val="0"/>
        </w:rPr>
        <w:t xml:space="preserve">lan has a number of deficiencies in relation to soundness </w:t>
      </w:r>
      <w:r w:rsidR="0020757A" w:rsidRPr="001C2441">
        <w:rPr>
          <w:b w:val="0"/>
        </w:rPr>
        <w:t>and/or legal compliance</w:t>
      </w:r>
      <w:r w:rsidR="00E41A6C" w:rsidRPr="001C2441">
        <w:rPr>
          <w:b w:val="0"/>
        </w:rPr>
        <w:t xml:space="preserve"> for the reasons set out above </w:t>
      </w:r>
      <w:r w:rsidRPr="001C2441">
        <w:rPr>
          <w:b w:val="0"/>
        </w:rPr>
        <w:t>which mean tha</w:t>
      </w:r>
      <w:r w:rsidR="00FA0B0B" w:rsidRPr="001C2441">
        <w:rPr>
          <w:b w:val="0"/>
        </w:rPr>
        <w:t>t</w:t>
      </w:r>
      <w:r w:rsidRPr="001C2441">
        <w:rPr>
          <w:b w:val="0"/>
        </w:rPr>
        <w:t xml:space="preserve"> </w:t>
      </w:r>
      <w:r w:rsidR="00E9596F" w:rsidRPr="001C2441">
        <w:rPr>
          <w:b w:val="0"/>
        </w:rPr>
        <w:t>I recommend non-</w:t>
      </w:r>
      <w:r w:rsidRPr="001C2441">
        <w:rPr>
          <w:b w:val="0"/>
        </w:rPr>
        <w:t xml:space="preserve">adoption </w:t>
      </w:r>
      <w:r w:rsidR="00E9596F" w:rsidRPr="001C2441">
        <w:rPr>
          <w:b w:val="0"/>
        </w:rPr>
        <w:t xml:space="preserve">of </w:t>
      </w:r>
      <w:r w:rsidR="0020757A" w:rsidRPr="001C2441">
        <w:rPr>
          <w:b w:val="0"/>
        </w:rPr>
        <w:t>it</w:t>
      </w:r>
      <w:r w:rsidR="00E9596F" w:rsidRPr="001C2441">
        <w:rPr>
          <w:b w:val="0"/>
        </w:rPr>
        <w:t xml:space="preserve"> </w:t>
      </w:r>
      <w:r w:rsidRPr="001C2441">
        <w:rPr>
          <w:b w:val="0"/>
        </w:rPr>
        <w:t>as submitted</w:t>
      </w:r>
      <w:r w:rsidR="00841425" w:rsidRPr="001C2441">
        <w:rPr>
          <w:b w:val="0"/>
        </w:rPr>
        <w:t xml:space="preserve">, in accordance with </w:t>
      </w:r>
      <w:r w:rsidR="00E41A6C" w:rsidRPr="001C2441">
        <w:rPr>
          <w:b w:val="0"/>
        </w:rPr>
        <w:t>S</w:t>
      </w:r>
      <w:r w:rsidR="00617405" w:rsidRPr="001C2441">
        <w:rPr>
          <w:b w:val="0"/>
        </w:rPr>
        <w:t xml:space="preserve">ection </w:t>
      </w:r>
      <w:r w:rsidR="00841425" w:rsidRPr="001C2441">
        <w:rPr>
          <w:b w:val="0"/>
        </w:rPr>
        <w:t xml:space="preserve">20(7A) of the </w:t>
      </w:r>
      <w:r w:rsidR="00765B71" w:rsidRPr="001C2441">
        <w:rPr>
          <w:b w:val="0"/>
        </w:rPr>
        <w:t xml:space="preserve">2004 </w:t>
      </w:r>
      <w:r w:rsidR="00841425" w:rsidRPr="001C2441">
        <w:rPr>
          <w:b w:val="0"/>
        </w:rPr>
        <w:t>Act</w:t>
      </w:r>
      <w:r w:rsidRPr="001C2441">
        <w:rPr>
          <w:b w:val="0"/>
        </w:rPr>
        <w:t xml:space="preserve">. </w:t>
      </w:r>
      <w:r w:rsidR="00FA0B0B" w:rsidRPr="001C2441">
        <w:rPr>
          <w:b w:val="0"/>
        </w:rPr>
        <w:t xml:space="preserve"> </w:t>
      </w:r>
      <w:r w:rsidRPr="001C2441">
        <w:rPr>
          <w:b w:val="0"/>
        </w:rPr>
        <w:t xml:space="preserve">These deficiencies have </w:t>
      </w:r>
      <w:r w:rsidR="00FB76CE" w:rsidRPr="001C2441">
        <w:rPr>
          <w:b w:val="0"/>
        </w:rPr>
        <w:t xml:space="preserve">been </w:t>
      </w:r>
      <w:r w:rsidRPr="001C2441">
        <w:rPr>
          <w:b w:val="0"/>
        </w:rPr>
        <w:t xml:space="preserve">explored in the main issues </w:t>
      </w:r>
      <w:r w:rsidR="004F7E91" w:rsidRPr="001C2441">
        <w:rPr>
          <w:b w:val="0"/>
        </w:rPr>
        <w:t xml:space="preserve">set </w:t>
      </w:r>
      <w:r w:rsidR="00A07A02" w:rsidRPr="001C2441">
        <w:rPr>
          <w:b w:val="0"/>
        </w:rPr>
        <w:t xml:space="preserve">out </w:t>
      </w:r>
      <w:r w:rsidRPr="001C2441">
        <w:rPr>
          <w:b w:val="0"/>
        </w:rPr>
        <w:t>above</w:t>
      </w:r>
      <w:r w:rsidR="004F7E91" w:rsidRPr="001C2441">
        <w:rPr>
          <w:b w:val="0"/>
        </w:rPr>
        <w:t>.</w:t>
      </w:r>
    </w:p>
    <w:p w:rsidR="006D7CF6" w:rsidRDefault="006D7CF6" w:rsidP="005E4142">
      <w:pPr>
        <w:widowControl w:val="0"/>
        <w:numPr>
          <w:ilvl w:val="0"/>
          <w:numId w:val="13"/>
        </w:numPr>
      </w:pPr>
      <w:r w:rsidRPr="001C2441">
        <w:t xml:space="preserve">The Council has requested that I recommend main modifications to make the Plan sound and/or legally compliant and capable of adoption.  I conclude that with the recommended main modifications set out in the Appendix the </w:t>
      </w:r>
      <w:r w:rsidR="001C7FD9">
        <w:t>Site Allocations and Development Management Policies Plan</w:t>
      </w:r>
      <w:r w:rsidRPr="001C2441">
        <w:t xml:space="preserve"> satisfies the requirements of Section 20(5) of the 2004 Act and meets the criteria for soundness in </w:t>
      </w:r>
      <w:r w:rsidR="00633A61" w:rsidRPr="001C2441">
        <w:t>the National Planning Policy Framework</w:t>
      </w:r>
      <w:r w:rsidRPr="001C2441">
        <w:t xml:space="preserve">. </w:t>
      </w:r>
    </w:p>
    <w:p w:rsidR="001C7FD9" w:rsidRPr="001C7FD9" w:rsidRDefault="001C7FD9" w:rsidP="001C7FD9">
      <w:pPr>
        <w:widowControl w:val="0"/>
        <w:ind w:left="510"/>
      </w:pPr>
    </w:p>
    <w:p w:rsidR="006D7CF6" w:rsidRPr="001C2441" w:rsidRDefault="006D7CF6" w:rsidP="006D7CF6"/>
    <w:p w:rsidR="00595357" w:rsidRPr="00EA5B63" w:rsidRDefault="00EA5B63" w:rsidP="0020757A">
      <w:pPr>
        <w:pStyle w:val="DPDIntro"/>
        <w:widowControl w:val="0"/>
        <w:rPr>
          <w:rFonts w:ascii="Monotype Corsiva" w:hAnsi="Monotype Corsiva"/>
          <w:b w:val="0"/>
          <w:color w:val="0000FF"/>
          <w:sz w:val="40"/>
          <w:szCs w:val="40"/>
        </w:rPr>
      </w:pPr>
      <w:r w:rsidRPr="00EA5B63">
        <w:rPr>
          <w:rFonts w:ascii="Monotype Corsiva" w:hAnsi="Monotype Corsiva"/>
          <w:b w:val="0"/>
          <w:sz w:val="40"/>
          <w:szCs w:val="40"/>
        </w:rPr>
        <w:t>David Hogger</w:t>
      </w:r>
    </w:p>
    <w:p w:rsidR="00595357" w:rsidRDefault="00595357" w:rsidP="00595357">
      <w:pPr>
        <w:pStyle w:val="DPDReportNumberedParaIntro"/>
        <w:numPr>
          <w:ilvl w:val="0"/>
          <w:numId w:val="0"/>
        </w:numPr>
        <w:rPr>
          <w:szCs w:val="22"/>
        </w:rPr>
      </w:pPr>
      <w:r>
        <w:rPr>
          <w:szCs w:val="22"/>
        </w:rPr>
        <w:t>Inspector</w:t>
      </w:r>
    </w:p>
    <w:p w:rsidR="00436EB6" w:rsidRPr="00436EB6" w:rsidRDefault="00726216" w:rsidP="008554AD">
      <w:pPr>
        <w:pStyle w:val="DPDIntro"/>
        <w:widowControl w:val="0"/>
      </w:pPr>
      <w:r w:rsidRPr="000252F3">
        <w:rPr>
          <w:b w:val="0"/>
        </w:rPr>
        <w:t>This report is accompanied by</w:t>
      </w:r>
      <w:r w:rsidR="00E41A6C">
        <w:rPr>
          <w:b w:val="0"/>
        </w:rPr>
        <w:t xml:space="preserve"> </w:t>
      </w:r>
      <w:r w:rsidR="00A51406">
        <w:rPr>
          <w:b w:val="0"/>
        </w:rPr>
        <w:t>an</w:t>
      </w:r>
      <w:r w:rsidR="00E41A6C">
        <w:rPr>
          <w:b w:val="0"/>
        </w:rPr>
        <w:t xml:space="preserve"> </w:t>
      </w:r>
      <w:r w:rsidR="00595357" w:rsidRPr="000252F3">
        <w:rPr>
          <w:b w:val="0"/>
        </w:rPr>
        <w:t xml:space="preserve">Appendix </w:t>
      </w:r>
      <w:r w:rsidR="00E41A6C">
        <w:rPr>
          <w:b w:val="0"/>
        </w:rPr>
        <w:t>containing</w:t>
      </w:r>
      <w:r w:rsidR="0020757A">
        <w:rPr>
          <w:b w:val="0"/>
        </w:rPr>
        <w:t xml:space="preserve"> the </w:t>
      </w:r>
      <w:r w:rsidR="00C75511">
        <w:rPr>
          <w:b w:val="0"/>
        </w:rPr>
        <w:t xml:space="preserve">Main Modifications </w:t>
      </w:r>
    </w:p>
    <w:sectPr w:rsidR="00436EB6" w:rsidRPr="00436EB6" w:rsidSect="00DB3A57">
      <w:headerReference w:type="even" r:id="rId17"/>
      <w:footerReference w:type="first" r:id="rId18"/>
      <w:pgSz w:w="11906" w:h="16838" w:code="9"/>
      <w:pgMar w:top="187" w:right="1080" w:bottom="1282" w:left="1526" w:header="706" w:footer="706"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E5" w:rsidRDefault="007D07E5">
      <w:r>
        <w:separator/>
      </w:r>
    </w:p>
    <w:p w:rsidR="007D07E5" w:rsidRDefault="007D07E5"/>
    <w:p w:rsidR="007D07E5" w:rsidRDefault="007D07E5" w:rsidP="00140A42"/>
    <w:p w:rsidR="007D07E5" w:rsidRDefault="007D07E5" w:rsidP="00140A42"/>
    <w:p w:rsidR="007D07E5" w:rsidRDefault="007D07E5" w:rsidP="00140A42"/>
    <w:p w:rsidR="007D07E5" w:rsidRDefault="007D07E5"/>
    <w:p w:rsidR="007D07E5" w:rsidRDefault="007D07E5"/>
    <w:p w:rsidR="007D07E5" w:rsidRDefault="007D07E5"/>
    <w:p w:rsidR="007D07E5" w:rsidRDefault="007D07E5" w:rsidP="005E4142"/>
    <w:p w:rsidR="007D07E5" w:rsidRDefault="007D07E5" w:rsidP="005E4142"/>
    <w:p w:rsidR="007D07E5" w:rsidRDefault="007D07E5" w:rsidP="005E4142"/>
    <w:p w:rsidR="007D07E5" w:rsidRDefault="007D07E5" w:rsidP="005E4142"/>
  </w:endnote>
  <w:endnote w:type="continuationSeparator" w:id="0">
    <w:p w:rsidR="007D07E5" w:rsidRDefault="007D07E5">
      <w:r>
        <w:continuationSeparator/>
      </w:r>
    </w:p>
    <w:p w:rsidR="007D07E5" w:rsidRDefault="007D07E5"/>
    <w:p w:rsidR="007D07E5" w:rsidRDefault="007D07E5" w:rsidP="00140A42"/>
    <w:p w:rsidR="007D07E5" w:rsidRDefault="007D07E5" w:rsidP="00140A42"/>
    <w:p w:rsidR="007D07E5" w:rsidRDefault="007D07E5" w:rsidP="00140A42"/>
    <w:p w:rsidR="007D07E5" w:rsidRDefault="007D07E5"/>
    <w:p w:rsidR="007D07E5" w:rsidRDefault="007D07E5"/>
    <w:p w:rsidR="007D07E5" w:rsidRDefault="007D07E5"/>
    <w:p w:rsidR="007D07E5" w:rsidRDefault="007D07E5" w:rsidP="005E4142"/>
    <w:p w:rsidR="007D07E5" w:rsidRDefault="007D07E5" w:rsidP="005E4142"/>
    <w:p w:rsidR="007D07E5" w:rsidRDefault="007D07E5" w:rsidP="005E4142"/>
    <w:p w:rsidR="007D07E5" w:rsidRDefault="007D07E5" w:rsidP="005E4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rsidP="008A1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07E5" w:rsidRDefault="007D0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Pr="00196198" w:rsidRDefault="007D07E5" w:rsidP="00807908">
    <w:pPr>
      <w:pStyle w:val="Footer"/>
      <w:jc w:val="center"/>
      <w:rPr>
        <w:sz w:val="16"/>
        <w:szCs w:val="16"/>
      </w:rPr>
    </w:pPr>
    <w:r w:rsidRPr="00196198">
      <w:rPr>
        <w:rStyle w:val="PageNumber"/>
        <w:sz w:val="16"/>
        <w:szCs w:val="16"/>
      </w:rPr>
      <w:t xml:space="preserve">- </w:t>
    </w:r>
    <w:r w:rsidRPr="00196198">
      <w:rPr>
        <w:rStyle w:val="PageNumber"/>
        <w:sz w:val="16"/>
        <w:szCs w:val="16"/>
      </w:rPr>
      <w:fldChar w:fldCharType="begin"/>
    </w:r>
    <w:r w:rsidRPr="00196198">
      <w:rPr>
        <w:rStyle w:val="PageNumber"/>
        <w:sz w:val="16"/>
        <w:szCs w:val="16"/>
      </w:rPr>
      <w:instrText xml:space="preserve"> PAGE </w:instrText>
    </w:r>
    <w:r w:rsidRPr="00196198">
      <w:rPr>
        <w:rStyle w:val="PageNumber"/>
        <w:sz w:val="16"/>
        <w:szCs w:val="16"/>
      </w:rPr>
      <w:fldChar w:fldCharType="separate"/>
    </w:r>
    <w:r w:rsidR="003F202C">
      <w:rPr>
        <w:rStyle w:val="PageNumber"/>
        <w:noProof/>
        <w:sz w:val="16"/>
        <w:szCs w:val="16"/>
      </w:rPr>
      <w:t>38</w:t>
    </w:r>
    <w:r w:rsidRPr="00196198">
      <w:rPr>
        <w:rStyle w:val="PageNumber"/>
        <w:sz w:val="16"/>
        <w:szCs w:val="16"/>
      </w:rPr>
      <w:fldChar w:fldCharType="end"/>
    </w:r>
    <w:r w:rsidRPr="00196198">
      <w:rPr>
        <w:rStyle w:val="PageNumbe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rsidP="00442BA9">
    <w:pPr>
      <w:pStyle w:val="Footer"/>
      <w:jc w:val="center"/>
    </w:pPr>
    <w:r>
      <w:rPr>
        <w:rStyle w:val="PageNumber"/>
        <w:sz w:val="16"/>
        <w:szCs w:val="16"/>
      </w:rPr>
      <w:t>-</w:t>
    </w:r>
    <w:r w:rsidRPr="001A48FD">
      <w:rPr>
        <w:rStyle w:val="PageNumber"/>
        <w:sz w:val="16"/>
        <w:szCs w:val="16"/>
      </w:rPr>
      <w:fldChar w:fldCharType="begin"/>
    </w:r>
    <w:r w:rsidRPr="001A48FD">
      <w:rPr>
        <w:rStyle w:val="PageNumber"/>
        <w:sz w:val="16"/>
        <w:szCs w:val="16"/>
      </w:rPr>
      <w:instrText xml:space="preserve"> PAGE </w:instrText>
    </w:r>
    <w:r w:rsidRPr="001A48FD">
      <w:rPr>
        <w:rStyle w:val="PageNumber"/>
        <w:sz w:val="16"/>
        <w:szCs w:val="16"/>
      </w:rPr>
      <w:fldChar w:fldCharType="separate"/>
    </w:r>
    <w:r w:rsidR="003F202C">
      <w:rPr>
        <w:rStyle w:val="PageNumber"/>
        <w:noProof/>
        <w:sz w:val="16"/>
        <w:szCs w:val="16"/>
      </w:rPr>
      <w:t>2</w:t>
    </w:r>
    <w:r w:rsidRPr="001A48FD">
      <w:rPr>
        <w:rStyle w:val="PageNumber"/>
        <w:sz w:val="16"/>
        <w:szCs w:val="16"/>
      </w:rPr>
      <w:fldChar w:fldCharType="end"/>
    </w:r>
    <w:r>
      <w:rPr>
        <w:rStyle w:val="PageNumbe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E5" w:rsidRDefault="007D07E5" w:rsidP="005E4142">
      <w:r>
        <w:separator/>
      </w:r>
    </w:p>
  </w:footnote>
  <w:footnote w:type="continuationSeparator" w:id="0">
    <w:p w:rsidR="007D07E5" w:rsidRDefault="007D07E5">
      <w:r>
        <w:continuationSeparator/>
      </w:r>
    </w:p>
    <w:p w:rsidR="007D07E5" w:rsidRDefault="007D07E5"/>
    <w:p w:rsidR="007D07E5" w:rsidRDefault="007D07E5" w:rsidP="00140A42"/>
    <w:p w:rsidR="007D07E5" w:rsidRDefault="007D07E5" w:rsidP="00140A42"/>
    <w:p w:rsidR="007D07E5" w:rsidRDefault="007D07E5" w:rsidP="00140A42"/>
    <w:p w:rsidR="007D07E5" w:rsidRDefault="007D07E5"/>
    <w:p w:rsidR="007D07E5" w:rsidRDefault="007D07E5"/>
    <w:p w:rsidR="007D07E5" w:rsidRDefault="007D07E5"/>
    <w:p w:rsidR="007D07E5" w:rsidRDefault="007D07E5" w:rsidP="005E4142"/>
    <w:p w:rsidR="007D07E5" w:rsidRDefault="007D07E5" w:rsidP="005E4142"/>
    <w:p w:rsidR="007D07E5" w:rsidRDefault="007D07E5" w:rsidP="005E4142"/>
    <w:p w:rsidR="007D07E5" w:rsidRDefault="007D07E5" w:rsidP="005E4142"/>
  </w:footnote>
  <w:footnote w:id="1">
    <w:p w:rsidR="007D07E5" w:rsidRDefault="007D07E5">
      <w:pPr>
        <w:pStyle w:val="FootnoteText"/>
      </w:pPr>
      <w:r>
        <w:rPr>
          <w:rStyle w:val="FootnoteReference"/>
        </w:rPr>
        <w:footnoteRef/>
      </w:r>
      <w:r>
        <w:t xml:space="preserve"> Core document CD 32 Appendix</w:t>
      </w:r>
    </w:p>
  </w:footnote>
  <w:footnote w:id="2">
    <w:p w:rsidR="007D07E5" w:rsidRDefault="007D07E5">
      <w:pPr>
        <w:pStyle w:val="FootnoteText"/>
      </w:pPr>
      <w:r>
        <w:rPr>
          <w:rStyle w:val="FootnoteReference"/>
        </w:rPr>
        <w:footnoteRef/>
      </w:r>
      <w:r>
        <w:t xml:space="preserve"> </w:t>
      </w:r>
      <w:proofErr w:type="spellStart"/>
      <w:r>
        <w:t>SoCG</w:t>
      </w:r>
      <w:proofErr w:type="spellEnd"/>
      <w:r>
        <w:t xml:space="preserve"> under Issue 1</w:t>
      </w:r>
    </w:p>
  </w:footnote>
  <w:footnote w:id="3">
    <w:p w:rsidR="007D07E5" w:rsidRDefault="007D07E5" w:rsidP="00BB2150">
      <w:pPr>
        <w:pStyle w:val="FootnoteText"/>
      </w:pPr>
      <w:r>
        <w:rPr>
          <w:rStyle w:val="FootnoteReference"/>
        </w:rPr>
        <w:footnoteRef/>
      </w:r>
      <w:r>
        <w:t xml:space="preserve"> Library document CD34</w:t>
      </w:r>
    </w:p>
  </w:footnote>
  <w:footnote w:id="4">
    <w:p w:rsidR="00FC59C7" w:rsidRDefault="00FC59C7">
      <w:pPr>
        <w:pStyle w:val="FootnoteText"/>
      </w:pPr>
      <w:r>
        <w:rPr>
          <w:rStyle w:val="FootnoteReference"/>
        </w:rPr>
        <w:footnoteRef/>
      </w:r>
      <w:r>
        <w:t xml:space="preserve"> In an appeal decision issued in July 2016 the Borough</w:t>
      </w:r>
      <w:r w:rsidR="00BC2C1E">
        <w:t xml:space="preserve"> </w:t>
      </w:r>
      <w:r>
        <w:t>Council was held to have a five year supply</w:t>
      </w:r>
    </w:p>
  </w:footnote>
  <w:footnote w:id="5">
    <w:p w:rsidR="007D07E5" w:rsidRDefault="007D07E5">
      <w:pPr>
        <w:pStyle w:val="FootnoteText"/>
      </w:pPr>
      <w:r>
        <w:rPr>
          <w:rStyle w:val="FootnoteReference"/>
        </w:rPr>
        <w:footnoteRef/>
      </w:r>
      <w:r>
        <w:t xml:space="preserve"> Library document CD03</w:t>
      </w:r>
    </w:p>
  </w:footnote>
  <w:footnote w:id="6">
    <w:p w:rsidR="007D07E5" w:rsidRDefault="007D07E5">
      <w:pPr>
        <w:pStyle w:val="FootnoteText"/>
      </w:pPr>
      <w:r>
        <w:rPr>
          <w:rStyle w:val="FootnoteReference"/>
        </w:rPr>
        <w:footnoteRef/>
      </w:r>
      <w:r>
        <w:t xml:space="preserve"> DCLG March 2012</w:t>
      </w:r>
    </w:p>
  </w:footnote>
  <w:footnote w:id="7">
    <w:p w:rsidR="007D07E5" w:rsidRDefault="007D07E5" w:rsidP="003E26AE">
      <w:pPr>
        <w:pStyle w:val="FootnoteText"/>
      </w:pPr>
      <w:r>
        <w:rPr>
          <w:rStyle w:val="FootnoteReference"/>
        </w:rPr>
        <w:footnoteRef/>
      </w:r>
      <w:r>
        <w:t xml:space="preserve"> Library document CD31</w:t>
      </w:r>
    </w:p>
  </w:footnote>
  <w:footnote w:id="8">
    <w:p w:rsidR="007D07E5" w:rsidRDefault="007D07E5">
      <w:pPr>
        <w:pStyle w:val="FootnoteText"/>
      </w:pPr>
      <w:r>
        <w:rPr>
          <w:rStyle w:val="FootnoteReference"/>
        </w:rPr>
        <w:footnoteRef/>
      </w:r>
      <w:r>
        <w:t xml:space="preserve"> </w:t>
      </w:r>
      <w:proofErr w:type="spellStart"/>
      <w:r>
        <w:t>SoCG</w:t>
      </w:r>
      <w:proofErr w:type="spellEnd"/>
      <w:r>
        <w:t xml:space="preserve"> under Issue 5</w:t>
      </w:r>
    </w:p>
  </w:footnote>
  <w:footnote w:id="9">
    <w:p w:rsidR="007D07E5" w:rsidRDefault="007D07E5">
      <w:pPr>
        <w:pStyle w:val="FootnoteText"/>
      </w:pPr>
      <w:r>
        <w:rPr>
          <w:rStyle w:val="FootnoteReference"/>
        </w:rPr>
        <w:footnoteRef/>
      </w:r>
      <w:r>
        <w:t xml:space="preserve"> Library document: Council’s Statement on Issue 11 (Appendix 1)</w:t>
      </w:r>
    </w:p>
  </w:footnote>
  <w:footnote w:id="10">
    <w:p w:rsidR="007D07E5" w:rsidRDefault="007D07E5">
      <w:pPr>
        <w:pStyle w:val="FootnoteText"/>
      </w:pPr>
      <w:r>
        <w:rPr>
          <w:rStyle w:val="FootnoteReference"/>
        </w:rPr>
        <w:footnoteRef/>
      </w:r>
      <w:r>
        <w:t xml:space="preserve"> Library documents under FW18</w:t>
      </w:r>
    </w:p>
  </w:footnote>
  <w:footnote w:id="11">
    <w:p w:rsidR="007D07E5" w:rsidRDefault="007D07E5">
      <w:pPr>
        <w:pStyle w:val="FootnoteText"/>
      </w:pPr>
      <w:r>
        <w:rPr>
          <w:rStyle w:val="FootnoteReference"/>
        </w:rPr>
        <w:footnoteRef/>
      </w:r>
      <w:r>
        <w:t xml:space="preserve"> Ref: 15/01622/OM</w:t>
      </w:r>
    </w:p>
  </w:footnote>
  <w:footnote w:id="12">
    <w:p w:rsidR="007D07E5" w:rsidRDefault="007D07E5">
      <w:pPr>
        <w:pStyle w:val="FootnoteText"/>
      </w:pPr>
      <w:r>
        <w:rPr>
          <w:rStyle w:val="FootnoteReference"/>
        </w:rPr>
        <w:footnoteRef/>
      </w:r>
      <w:r>
        <w:t xml:space="preserve"> Reference APP/V2635/A/2181075</w:t>
      </w:r>
    </w:p>
  </w:footnote>
  <w:footnote w:id="13">
    <w:p w:rsidR="007D07E5" w:rsidRDefault="007D07E5">
      <w:pPr>
        <w:pStyle w:val="FootnoteText"/>
      </w:pPr>
      <w:r>
        <w:rPr>
          <w:rStyle w:val="FootnoteReference"/>
        </w:rPr>
        <w:footnoteRef/>
      </w:r>
      <w:r>
        <w:t xml:space="preserve"> Library document DCS06</w:t>
      </w:r>
    </w:p>
  </w:footnote>
  <w:footnote w:id="14">
    <w:p w:rsidR="007D07E5" w:rsidRDefault="007D07E5">
      <w:pPr>
        <w:pStyle w:val="FootnoteText"/>
      </w:pPr>
      <w:r>
        <w:rPr>
          <w:rStyle w:val="FootnoteReference"/>
        </w:rPr>
        <w:footnoteRef/>
      </w:r>
      <w:r>
        <w:t xml:space="preserve"> </w:t>
      </w:r>
      <w:proofErr w:type="spellStart"/>
      <w:r>
        <w:t>SoCG</w:t>
      </w:r>
      <w:proofErr w:type="spellEnd"/>
      <w:r>
        <w:t xml:space="preserve"> under Issue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rsidP="00112FB2">
    <w:pPr>
      <w:pStyle w:val="Header"/>
      <w:pBdr>
        <w:bottom w:val="single" w:sz="6" w:space="1" w:color="auto"/>
      </w:pBdr>
    </w:pPr>
    <w:r w:rsidRPr="001C2441">
      <w:t>King</w:t>
    </w:r>
    <w:r>
      <w:t>’</w:t>
    </w:r>
    <w:r w:rsidRPr="001C2441">
      <w:t>s Lynn and West Norfolk</w:t>
    </w:r>
    <w:r>
      <w:t xml:space="preserve"> Borough</w:t>
    </w:r>
    <w:r w:rsidRPr="001C2441">
      <w:t xml:space="preserve"> </w:t>
    </w:r>
    <w:r>
      <w:t>Council Site Allocations and Development Management Policies Local Plan Inspector’s Report August 2016</w:t>
    </w:r>
  </w:p>
  <w:p w:rsidR="007D07E5" w:rsidRDefault="007D07E5" w:rsidP="00112FB2">
    <w:pPr>
      <w:pStyle w:val="Header"/>
      <w:pBdr>
        <w:bottom w:val="single" w:sz="6" w:space="1" w:color="auto"/>
      </w:pBdr>
    </w:pPr>
  </w:p>
  <w:p w:rsidR="007D07E5" w:rsidRDefault="007D07E5" w:rsidP="00112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pPr>
      <w:pStyle w:val="Header"/>
    </w:pPr>
  </w:p>
  <w:p w:rsidR="007D07E5" w:rsidRDefault="007D07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7E5" w:rsidRDefault="007D07E5"/>
  <w:p w:rsidR="007D07E5" w:rsidRDefault="007D07E5"/>
  <w:p w:rsidR="007D07E5" w:rsidRDefault="007D07E5" w:rsidP="009479DB"/>
  <w:p w:rsidR="007D07E5" w:rsidRDefault="007D07E5" w:rsidP="005E4142"/>
  <w:p w:rsidR="007D07E5" w:rsidRDefault="007D07E5" w:rsidP="005E4142"/>
  <w:p w:rsidR="007D07E5" w:rsidRDefault="007D07E5" w:rsidP="005E4142"/>
  <w:p w:rsidR="007D07E5" w:rsidRDefault="007D07E5" w:rsidP="005E41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87D"/>
    <w:multiLevelType w:val="multilevel"/>
    <w:tmpl w:val="D8D0527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2A7FE0"/>
    <w:multiLevelType w:val="hybridMultilevel"/>
    <w:tmpl w:val="2B62A85E"/>
    <w:lvl w:ilvl="0" w:tplc="48C41ACC">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EE6F9D"/>
    <w:multiLevelType w:val="multilevel"/>
    <w:tmpl w:val="9342F500"/>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675FB"/>
    <w:multiLevelType w:val="multilevel"/>
    <w:tmpl w:val="8D6000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C33FF0"/>
    <w:multiLevelType w:val="hybridMultilevel"/>
    <w:tmpl w:val="21B0C9F8"/>
    <w:lvl w:ilvl="0" w:tplc="D668DDB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78239A"/>
    <w:multiLevelType w:val="hybridMultilevel"/>
    <w:tmpl w:val="FF60B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1B34EA"/>
    <w:multiLevelType w:val="hybridMultilevel"/>
    <w:tmpl w:val="E98434BE"/>
    <w:lvl w:ilvl="0" w:tplc="08090001">
      <w:start w:val="1"/>
      <w:numFmt w:val="bullet"/>
      <w:lvlText w:val=""/>
      <w:lvlJc w:val="left"/>
      <w:pPr>
        <w:tabs>
          <w:tab w:val="num" w:pos="720"/>
        </w:tabs>
        <w:ind w:left="720" w:hanging="360"/>
      </w:pPr>
      <w:rPr>
        <w:rFonts w:ascii="Symbol" w:hAnsi="Symbol" w:hint="default"/>
      </w:rPr>
    </w:lvl>
    <w:lvl w:ilvl="1" w:tplc="0AEC586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CA395C"/>
    <w:multiLevelType w:val="hybridMultilevel"/>
    <w:tmpl w:val="67DE2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1080EE7"/>
    <w:multiLevelType w:val="multilevel"/>
    <w:tmpl w:val="20EA0E6E"/>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1D2D3A"/>
    <w:multiLevelType w:val="hybridMultilevel"/>
    <w:tmpl w:val="9EA485E4"/>
    <w:lvl w:ilvl="0" w:tplc="D7B2555A">
      <w:start w:val="1"/>
      <w:numFmt w:val="decimal"/>
      <w:lvlText w:val="%1"/>
      <w:lvlJc w:val="left"/>
      <w:pPr>
        <w:tabs>
          <w:tab w:val="num" w:pos="870"/>
        </w:tabs>
        <w:ind w:left="870" w:hanging="510"/>
      </w:pPr>
      <w:rPr>
        <w:rFonts w:hint="default"/>
      </w:rPr>
    </w:lvl>
    <w:lvl w:ilvl="1" w:tplc="B50AAF6A">
      <w:start w:val="1"/>
      <w:numFmt w:val="bullet"/>
      <w:lvlText w:val=""/>
      <w:lvlJc w:val="left"/>
      <w:pPr>
        <w:tabs>
          <w:tab w:val="num" w:pos="1630"/>
        </w:tabs>
        <w:ind w:left="1630" w:hanging="55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58B28A2"/>
    <w:multiLevelType w:val="multilevel"/>
    <w:tmpl w:val="9342F500"/>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AA38A9"/>
    <w:multiLevelType w:val="hybridMultilevel"/>
    <w:tmpl w:val="6CD0D9A6"/>
    <w:lvl w:ilvl="0" w:tplc="44167D1E">
      <w:start w:val="1"/>
      <w:numFmt w:val="decimal"/>
      <w:lvlText w:val="%1."/>
      <w:lvlJc w:val="left"/>
      <w:pPr>
        <w:tabs>
          <w:tab w:val="num" w:pos="510"/>
        </w:tabs>
        <w:ind w:left="510" w:hanging="510"/>
      </w:pPr>
      <w:rPr>
        <w:rFonts w:hint="default"/>
        <w:b w:val="0"/>
        <w:i w:val="0"/>
        <w:color w:val="auto"/>
      </w:rPr>
    </w:lvl>
    <w:lvl w:ilvl="1" w:tplc="BB9E4366">
      <w:start w:val="1"/>
      <w:numFmt w:val="bullet"/>
      <w:lvlText w:val=""/>
      <w:lvlJc w:val="left"/>
      <w:pPr>
        <w:tabs>
          <w:tab w:val="num" w:pos="1534"/>
        </w:tabs>
        <w:ind w:left="1534" w:hanging="454"/>
      </w:pPr>
      <w:rPr>
        <w:rFonts w:ascii="Wingdings" w:hAnsi="Wingding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D3328BE"/>
    <w:multiLevelType w:val="multilevel"/>
    <w:tmpl w:val="9342F500"/>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1A7509"/>
    <w:multiLevelType w:val="hybridMultilevel"/>
    <w:tmpl w:val="61601C60"/>
    <w:lvl w:ilvl="0" w:tplc="031CA7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4D1591"/>
    <w:multiLevelType w:val="hybridMultilevel"/>
    <w:tmpl w:val="236EA7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955673"/>
    <w:multiLevelType w:val="hybridMultilevel"/>
    <w:tmpl w:val="9884AC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E7434F1"/>
    <w:multiLevelType w:val="hybridMultilevel"/>
    <w:tmpl w:val="9720276C"/>
    <w:lvl w:ilvl="0" w:tplc="30C8C1A6">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E89595F"/>
    <w:multiLevelType w:val="hybridMultilevel"/>
    <w:tmpl w:val="A47C90C4"/>
    <w:lvl w:ilvl="0" w:tplc="B50AAF6A">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D0242A"/>
    <w:multiLevelType w:val="multilevel"/>
    <w:tmpl w:val="8BD84694"/>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20D1E18"/>
    <w:multiLevelType w:val="multilevel"/>
    <w:tmpl w:val="3A3C85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2737A94"/>
    <w:multiLevelType w:val="hybridMultilevel"/>
    <w:tmpl w:val="20EA0E6E"/>
    <w:lvl w:ilvl="0" w:tplc="66CAD45A">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4744766"/>
    <w:multiLevelType w:val="multilevel"/>
    <w:tmpl w:val="D8D0527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112F5E"/>
    <w:multiLevelType w:val="hybridMultilevel"/>
    <w:tmpl w:val="C37AAF6A"/>
    <w:lvl w:ilvl="0" w:tplc="C19C19BC">
      <w:start w:val="1"/>
      <w:numFmt w:val="decimal"/>
      <w:pStyle w:val="DPDNumberedParagraph"/>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7647E64"/>
    <w:multiLevelType w:val="hybridMultilevel"/>
    <w:tmpl w:val="3476F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557E8E"/>
    <w:multiLevelType w:val="multilevel"/>
    <w:tmpl w:val="D8D0527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9F3988"/>
    <w:multiLevelType w:val="multilevel"/>
    <w:tmpl w:val="6F7432DA"/>
    <w:lvl w:ilvl="0">
      <w:start w:val="1"/>
      <w:numFmt w:val="decimal"/>
      <w:pStyle w:val="Heading1"/>
      <w:lvlText w:val="%1."/>
      <w:lvlJc w:val="left"/>
      <w:pPr>
        <w:tabs>
          <w:tab w:val="num" w:pos="851"/>
        </w:tabs>
        <w:ind w:left="851" w:hanging="851"/>
      </w:pPr>
      <w:rPr>
        <w:rFonts w:hint="default"/>
      </w:rPr>
    </w:lvl>
    <w:lvl w:ilvl="1">
      <w:start w:val="1"/>
      <w:numFmt w:val="decimal"/>
      <w:pStyle w:val="Nnumber"/>
      <w:lvlText w:val="%1.%2"/>
      <w:lvlJc w:val="left"/>
      <w:pPr>
        <w:tabs>
          <w:tab w:val="num" w:pos="851"/>
        </w:tabs>
        <w:ind w:left="851" w:hanging="851"/>
      </w:pPr>
      <w:rPr>
        <w:rFonts w:hint="default"/>
      </w:rPr>
    </w:lvl>
    <w:lvl w:ilvl="2">
      <w:start w:val="1"/>
      <w:numFmt w:val="decimal"/>
      <w:lvlRestart w:val="1"/>
      <w:lvlText w:val="%1.%2.%3"/>
      <w:lvlJc w:val="left"/>
      <w:pPr>
        <w:tabs>
          <w:tab w:val="num" w:pos="851"/>
        </w:tabs>
        <w:ind w:left="851" w:hanging="851"/>
      </w:pPr>
      <w:rPr>
        <w:rFonts w:ascii="Verdana" w:hAnsi="Verdana" w:hint="default"/>
        <w:b w:val="0"/>
        <w:i w:val="0"/>
        <w:sz w:val="20"/>
        <w:szCs w:val="20"/>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6">
    <w:nsid w:val="528B600D"/>
    <w:multiLevelType w:val="hybridMultilevel"/>
    <w:tmpl w:val="4A9CA96E"/>
    <w:lvl w:ilvl="0" w:tplc="B6F67FBA">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4CC61A1"/>
    <w:multiLevelType w:val="hybridMultilevel"/>
    <w:tmpl w:val="290E84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8AA2901"/>
    <w:multiLevelType w:val="multilevel"/>
    <w:tmpl w:val="4A9CA9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2CB6406"/>
    <w:multiLevelType w:val="multilevel"/>
    <w:tmpl w:val="309C1C28"/>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30">
    <w:nsid w:val="660758F1"/>
    <w:multiLevelType w:val="hybridMultilevel"/>
    <w:tmpl w:val="8BD84694"/>
    <w:lvl w:ilvl="0" w:tplc="04E2C6DC">
      <w:start w:val="1"/>
      <w:numFmt w:val="decimal"/>
      <w:pStyle w:val="DPDReportNumberedParaIntro"/>
      <w:lvlText w:val="%1."/>
      <w:lvlJc w:val="left"/>
      <w:pPr>
        <w:tabs>
          <w:tab w:val="num" w:pos="567"/>
        </w:tabs>
        <w:ind w:left="567" w:hanging="567"/>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9110588"/>
    <w:multiLevelType w:val="hybridMultilevel"/>
    <w:tmpl w:val="FE4895FC"/>
    <w:lvl w:ilvl="0" w:tplc="C9F2D476">
      <w:start w:val="1"/>
      <w:numFmt w:val="decimal"/>
      <w:lvlText w:val="%1"/>
      <w:lvlJc w:val="left"/>
      <w:pPr>
        <w:tabs>
          <w:tab w:val="num" w:pos="360"/>
        </w:tabs>
        <w:ind w:left="36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B0735DC"/>
    <w:multiLevelType w:val="multilevel"/>
    <w:tmpl w:val="70306B0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B27798A"/>
    <w:multiLevelType w:val="singleLevel"/>
    <w:tmpl w:val="2A74EF3E"/>
    <w:lvl w:ilvl="0">
      <w:start w:val="1"/>
      <w:numFmt w:val="bullet"/>
      <w:pStyle w:val="TBullet"/>
      <w:lvlText w:val=""/>
      <w:lvlJc w:val="left"/>
      <w:pPr>
        <w:tabs>
          <w:tab w:val="num" w:pos="360"/>
        </w:tabs>
        <w:ind w:left="360" w:hanging="360"/>
      </w:pPr>
      <w:rPr>
        <w:rFonts w:ascii="Symbol" w:hAnsi="Symbol" w:hint="default"/>
      </w:rPr>
    </w:lvl>
  </w:abstractNum>
  <w:abstractNum w:abstractNumId="34">
    <w:nsid w:val="6F3A5288"/>
    <w:multiLevelType w:val="multilevel"/>
    <w:tmpl w:val="734EDC7E"/>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A5098C"/>
    <w:multiLevelType w:val="multilevel"/>
    <w:tmpl w:val="884E965A"/>
    <w:lvl w:ilvl="0">
      <w:start w:val="1"/>
      <w:numFmt w:val="lowerRoman"/>
      <w:lvlText w:val="%1."/>
      <w:lvlJc w:val="left"/>
      <w:pPr>
        <w:tabs>
          <w:tab w:val="num" w:pos="567"/>
        </w:tabs>
        <w:ind w:left="567" w:hanging="567"/>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EBE1DC5"/>
    <w:multiLevelType w:val="hybridMultilevel"/>
    <w:tmpl w:val="70306B06"/>
    <w:lvl w:ilvl="0" w:tplc="75B0719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F1351ED"/>
    <w:multiLevelType w:val="multilevel"/>
    <w:tmpl w:val="01F2F62A"/>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25"/>
  </w:num>
  <w:num w:numId="3">
    <w:abstractNumId w:val="6"/>
  </w:num>
  <w:num w:numId="4">
    <w:abstractNumId w:val="31"/>
  </w:num>
  <w:num w:numId="5">
    <w:abstractNumId w:val="15"/>
  </w:num>
  <w:num w:numId="6">
    <w:abstractNumId w:val="30"/>
  </w:num>
  <w:num w:numId="7">
    <w:abstractNumId w:val="4"/>
  </w:num>
  <w:num w:numId="8">
    <w:abstractNumId w:val="19"/>
  </w:num>
  <w:num w:numId="9">
    <w:abstractNumId w:val="22"/>
  </w:num>
  <w:num w:numId="10">
    <w:abstractNumId w:val="13"/>
  </w:num>
  <w:num w:numId="11">
    <w:abstractNumId w:val="5"/>
  </w:num>
  <w:num w:numId="12">
    <w:abstractNumId w:val="35"/>
  </w:num>
  <w:num w:numId="13">
    <w:abstractNumId w:val="11"/>
  </w:num>
  <w:num w:numId="14">
    <w:abstractNumId w:val="36"/>
  </w:num>
  <w:num w:numId="15">
    <w:abstractNumId w:val="20"/>
  </w:num>
  <w:num w:numId="16">
    <w:abstractNumId w:val="26"/>
  </w:num>
  <w:num w:numId="17">
    <w:abstractNumId w:val="3"/>
  </w:num>
  <w:num w:numId="18">
    <w:abstractNumId w:val="32"/>
  </w:num>
  <w:num w:numId="19">
    <w:abstractNumId w:val="8"/>
  </w:num>
  <w:num w:numId="20">
    <w:abstractNumId w:val="18"/>
  </w:num>
  <w:num w:numId="21">
    <w:abstractNumId w:val="1"/>
  </w:num>
  <w:num w:numId="22">
    <w:abstractNumId w:val="28"/>
  </w:num>
  <w:num w:numId="23">
    <w:abstractNumId w:val="16"/>
  </w:num>
  <w:num w:numId="24">
    <w:abstractNumId w:val="0"/>
  </w:num>
  <w:num w:numId="25">
    <w:abstractNumId w:val="24"/>
  </w:num>
  <w:num w:numId="26">
    <w:abstractNumId w:val="21"/>
  </w:num>
  <w:num w:numId="27">
    <w:abstractNumId w:val="10"/>
  </w:num>
  <w:num w:numId="28">
    <w:abstractNumId w:val="2"/>
  </w:num>
  <w:num w:numId="29">
    <w:abstractNumId w:val="12"/>
  </w:num>
  <w:num w:numId="30">
    <w:abstractNumId w:val="34"/>
  </w:num>
  <w:num w:numId="31">
    <w:abstractNumId w:val="37"/>
  </w:num>
  <w:num w:numId="32">
    <w:abstractNumId w:val="30"/>
  </w:num>
  <w:num w:numId="33">
    <w:abstractNumId w:val="17"/>
  </w:num>
  <w:num w:numId="34">
    <w:abstractNumId w:val="9"/>
  </w:num>
  <w:num w:numId="35">
    <w:abstractNumId w:val="23"/>
  </w:num>
  <w:num w:numId="36">
    <w:abstractNumId w:val="7"/>
  </w:num>
  <w:num w:numId="37">
    <w:abstractNumId w:val="14"/>
  </w:num>
  <w:num w:numId="38">
    <w:abstractNumId w:val="2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D5"/>
    <w:rsid w:val="00000518"/>
    <w:rsid w:val="00006118"/>
    <w:rsid w:val="0001168C"/>
    <w:rsid w:val="00012B1F"/>
    <w:rsid w:val="00015F4A"/>
    <w:rsid w:val="00016654"/>
    <w:rsid w:val="00016989"/>
    <w:rsid w:val="00016C35"/>
    <w:rsid w:val="00017260"/>
    <w:rsid w:val="00021426"/>
    <w:rsid w:val="00021C29"/>
    <w:rsid w:val="0002285F"/>
    <w:rsid w:val="0002476E"/>
    <w:rsid w:val="000252F3"/>
    <w:rsid w:val="000277DB"/>
    <w:rsid w:val="00030944"/>
    <w:rsid w:val="000310AD"/>
    <w:rsid w:val="00031412"/>
    <w:rsid w:val="00031496"/>
    <w:rsid w:val="00031A40"/>
    <w:rsid w:val="00031D1A"/>
    <w:rsid w:val="000330CD"/>
    <w:rsid w:val="00034936"/>
    <w:rsid w:val="000362CE"/>
    <w:rsid w:val="000367DD"/>
    <w:rsid w:val="000423BE"/>
    <w:rsid w:val="000520AD"/>
    <w:rsid w:val="00052B04"/>
    <w:rsid w:val="00052FF5"/>
    <w:rsid w:val="00057766"/>
    <w:rsid w:val="00062401"/>
    <w:rsid w:val="00065BB0"/>
    <w:rsid w:val="00073AE9"/>
    <w:rsid w:val="0007498B"/>
    <w:rsid w:val="000809EC"/>
    <w:rsid w:val="00081DCD"/>
    <w:rsid w:val="00084320"/>
    <w:rsid w:val="0008457F"/>
    <w:rsid w:val="00084AC4"/>
    <w:rsid w:val="00087949"/>
    <w:rsid w:val="00092301"/>
    <w:rsid w:val="00093A2A"/>
    <w:rsid w:val="00095D0D"/>
    <w:rsid w:val="00096E30"/>
    <w:rsid w:val="000A14AE"/>
    <w:rsid w:val="000A251E"/>
    <w:rsid w:val="000A2FFA"/>
    <w:rsid w:val="000A383D"/>
    <w:rsid w:val="000A57AF"/>
    <w:rsid w:val="000A5DB7"/>
    <w:rsid w:val="000A640C"/>
    <w:rsid w:val="000A7180"/>
    <w:rsid w:val="000B0974"/>
    <w:rsid w:val="000B6CC8"/>
    <w:rsid w:val="000B6DE1"/>
    <w:rsid w:val="000B7C44"/>
    <w:rsid w:val="000B7EE6"/>
    <w:rsid w:val="000B7FE2"/>
    <w:rsid w:val="000C0EB7"/>
    <w:rsid w:val="000C114E"/>
    <w:rsid w:val="000C1670"/>
    <w:rsid w:val="000C1677"/>
    <w:rsid w:val="000C16D5"/>
    <w:rsid w:val="000C47D2"/>
    <w:rsid w:val="000C628F"/>
    <w:rsid w:val="000C6B3B"/>
    <w:rsid w:val="000C6F95"/>
    <w:rsid w:val="000D078F"/>
    <w:rsid w:val="000D15E4"/>
    <w:rsid w:val="000E003E"/>
    <w:rsid w:val="000E0DF8"/>
    <w:rsid w:val="000E2369"/>
    <w:rsid w:val="000E31AC"/>
    <w:rsid w:val="000E4159"/>
    <w:rsid w:val="000E47B6"/>
    <w:rsid w:val="000E4E3F"/>
    <w:rsid w:val="000E6AF2"/>
    <w:rsid w:val="000E6D59"/>
    <w:rsid w:val="000E72D7"/>
    <w:rsid w:val="000E7E77"/>
    <w:rsid w:val="000F1976"/>
    <w:rsid w:val="000F3475"/>
    <w:rsid w:val="000F3492"/>
    <w:rsid w:val="000F4394"/>
    <w:rsid w:val="000F53B6"/>
    <w:rsid w:val="00100097"/>
    <w:rsid w:val="00103063"/>
    <w:rsid w:val="001034EA"/>
    <w:rsid w:val="001040F2"/>
    <w:rsid w:val="001114F2"/>
    <w:rsid w:val="00112FB2"/>
    <w:rsid w:val="00120C66"/>
    <w:rsid w:val="00122502"/>
    <w:rsid w:val="00130DA8"/>
    <w:rsid w:val="0013187A"/>
    <w:rsid w:val="00132712"/>
    <w:rsid w:val="001341ED"/>
    <w:rsid w:val="00136AC5"/>
    <w:rsid w:val="00137FF5"/>
    <w:rsid w:val="00140A42"/>
    <w:rsid w:val="001453B0"/>
    <w:rsid w:val="001467E0"/>
    <w:rsid w:val="0015012C"/>
    <w:rsid w:val="00154C94"/>
    <w:rsid w:val="001553CA"/>
    <w:rsid w:val="001560EE"/>
    <w:rsid w:val="001561C5"/>
    <w:rsid w:val="001562DA"/>
    <w:rsid w:val="00161BCC"/>
    <w:rsid w:val="00164628"/>
    <w:rsid w:val="00167813"/>
    <w:rsid w:val="00167F95"/>
    <w:rsid w:val="00184BCB"/>
    <w:rsid w:val="001866A7"/>
    <w:rsid w:val="00186F00"/>
    <w:rsid w:val="00190029"/>
    <w:rsid w:val="00190C49"/>
    <w:rsid w:val="00191A3A"/>
    <w:rsid w:val="001952AC"/>
    <w:rsid w:val="00196198"/>
    <w:rsid w:val="00197187"/>
    <w:rsid w:val="00197DCE"/>
    <w:rsid w:val="001A48FD"/>
    <w:rsid w:val="001A4D10"/>
    <w:rsid w:val="001A7A54"/>
    <w:rsid w:val="001B06E4"/>
    <w:rsid w:val="001B09C9"/>
    <w:rsid w:val="001B128F"/>
    <w:rsid w:val="001B14A5"/>
    <w:rsid w:val="001B1F26"/>
    <w:rsid w:val="001B33A2"/>
    <w:rsid w:val="001B366B"/>
    <w:rsid w:val="001B4AD6"/>
    <w:rsid w:val="001B4DEC"/>
    <w:rsid w:val="001B4E7B"/>
    <w:rsid w:val="001B55B2"/>
    <w:rsid w:val="001B6288"/>
    <w:rsid w:val="001B62EC"/>
    <w:rsid w:val="001B79CA"/>
    <w:rsid w:val="001C2441"/>
    <w:rsid w:val="001C4740"/>
    <w:rsid w:val="001C7BDE"/>
    <w:rsid w:val="001C7FD9"/>
    <w:rsid w:val="001D0406"/>
    <w:rsid w:val="001D1928"/>
    <w:rsid w:val="001D4ADA"/>
    <w:rsid w:val="001D5666"/>
    <w:rsid w:val="001D6D8E"/>
    <w:rsid w:val="001D79FF"/>
    <w:rsid w:val="001D7D39"/>
    <w:rsid w:val="001E17A3"/>
    <w:rsid w:val="001E3D38"/>
    <w:rsid w:val="001E4985"/>
    <w:rsid w:val="001E7510"/>
    <w:rsid w:val="001F24A4"/>
    <w:rsid w:val="001F3F3E"/>
    <w:rsid w:val="001F45A4"/>
    <w:rsid w:val="001F564B"/>
    <w:rsid w:val="001F5CEC"/>
    <w:rsid w:val="00201ABD"/>
    <w:rsid w:val="0020757A"/>
    <w:rsid w:val="002129A9"/>
    <w:rsid w:val="00212DA3"/>
    <w:rsid w:val="00216023"/>
    <w:rsid w:val="002163C0"/>
    <w:rsid w:val="002170E8"/>
    <w:rsid w:val="00217470"/>
    <w:rsid w:val="00217C1C"/>
    <w:rsid w:val="00221F91"/>
    <w:rsid w:val="00222C82"/>
    <w:rsid w:val="002238D7"/>
    <w:rsid w:val="00223935"/>
    <w:rsid w:val="00225479"/>
    <w:rsid w:val="00225C39"/>
    <w:rsid w:val="0022797A"/>
    <w:rsid w:val="00231E6B"/>
    <w:rsid w:val="00232368"/>
    <w:rsid w:val="00233C6A"/>
    <w:rsid w:val="00235735"/>
    <w:rsid w:val="0023632E"/>
    <w:rsid w:val="00237019"/>
    <w:rsid w:val="00240BA4"/>
    <w:rsid w:val="00241DB3"/>
    <w:rsid w:val="002448FB"/>
    <w:rsid w:val="00246188"/>
    <w:rsid w:val="00254EAB"/>
    <w:rsid w:val="0025571C"/>
    <w:rsid w:val="00255937"/>
    <w:rsid w:val="00261248"/>
    <w:rsid w:val="002612AE"/>
    <w:rsid w:val="00263F58"/>
    <w:rsid w:val="002649CE"/>
    <w:rsid w:val="00264A69"/>
    <w:rsid w:val="00266128"/>
    <w:rsid w:val="00266367"/>
    <w:rsid w:val="002668B2"/>
    <w:rsid w:val="00267626"/>
    <w:rsid w:val="0027459D"/>
    <w:rsid w:val="00276CBA"/>
    <w:rsid w:val="0028178F"/>
    <w:rsid w:val="00281E7C"/>
    <w:rsid w:val="00285D1C"/>
    <w:rsid w:val="00287D3F"/>
    <w:rsid w:val="00290230"/>
    <w:rsid w:val="00290FF7"/>
    <w:rsid w:val="00291B82"/>
    <w:rsid w:val="002927B3"/>
    <w:rsid w:val="00292DDF"/>
    <w:rsid w:val="00293264"/>
    <w:rsid w:val="0029664D"/>
    <w:rsid w:val="0029707D"/>
    <w:rsid w:val="00297998"/>
    <w:rsid w:val="002A0D80"/>
    <w:rsid w:val="002A19F4"/>
    <w:rsid w:val="002A2378"/>
    <w:rsid w:val="002A4B5D"/>
    <w:rsid w:val="002A4DB0"/>
    <w:rsid w:val="002A56AC"/>
    <w:rsid w:val="002A56E3"/>
    <w:rsid w:val="002A5762"/>
    <w:rsid w:val="002B5081"/>
    <w:rsid w:val="002B527C"/>
    <w:rsid w:val="002B5531"/>
    <w:rsid w:val="002B6156"/>
    <w:rsid w:val="002C1321"/>
    <w:rsid w:val="002C1EF3"/>
    <w:rsid w:val="002C36DE"/>
    <w:rsid w:val="002C5046"/>
    <w:rsid w:val="002C554E"/>
    <w:rsid w:val="002D2D2E"/>
    <w:rsid w:val="002D4468"/>
    <w:rsid w:val="002D4C07"/>
    <w:rsid w:val="002D7C0F"/>
    <w:rsid w:val="002E0407"/>
    <w:rsid w:val="002E0D62"/>
    <w:rsid w:val="002E1152"/>
    <w:rsid w:val="002E38F6"/>
    <w:rsid w:val="002E3910"/>
    <w:rsid w:val="002E3B20"/>
    <w:rsid w:val="002E589F"/>
    <w:rsid w:val="002E5EF7"/>
    <w:rsid w:val="002E6373"/>
    <w:rsid w:val="002F1DE5"/>
    <w:rsid w:val="002F565F"/>
    <w:rsid w:val="00301165"/>
    <w:rsid w:val="003028D6"/>
    <w:rsid w:val="00303A00"/>
    <w:rsid w:val="0030589C"/>
    <w:rsid w:val="00306288"/>
    <w:rsid w:val="00307B7B"/>
    <w:rsid w:val="003102B6"/>
    <w:rsid w:val="003115D3"/>
    <w:rsid w:val="003123E9"/>
    <w:rsid w:val="00313C01"/>
    <w:rsid w:val="0031716C"/>
    <w:rsid w:val="00320825"/>
    <w:rsid w:val="00320CAD"/>
    <w:rsid w:val="00321C1A"/>
    <w:rsid w:val="00321DA6"/>
    <w:rsid w:val="003222FD"/>
    <w:rsid w:val="0032314A"/>
    <w:rsid w:val="00325A06"/>
    <w:rsid w:val="00327A90"/>
    <w:rsid w:val="00330903"/>
    <w:rsid w:val="00331ED6"/>
    <w:rsid w:val="00332274"/>
    <w:rsid w:val="003344B5"/>
    <w:rsid w:val="00334891"/>
    <w:rsid w:val="003401C1"/>
    <w:rsid w:val="00345D9C"/>
    <w:rsid w:val="00347FAD"/>
    <w:rsid w:val="00350D4C"/>
    <w:rsid w:val="0035262E"/>
    <w:rsid w:val="00352D17"/>
    <w:rsid w:val="00354F7B"/>
    <w:rsid w:val="003624D8"/>
    <w:rsid w:val="0036545E"/>
    <w:rsid w:val="00366078"/>
    <w:rsid w:val="00367055"/>
    <w:rsid w:val="00371756"/>
    <w:rsid w:val="003750A4"/>
    <w:rsid w:val="00376704"/>
    <w:rsid w:val="003779C9"/>
    <w:rsid w:val="00377A2A"/>
    <w:rsid w:val="00377E6E"/>
    <w:rsid w:val="00377F79"/>
    <w:rsid w:val="00382EA9"/>
    <w:rsid w:val="0038316D"/>
    <w:rsid w:val="00384314"/>
    <w:rsid w:val="00384CB8"/>
    <w:rsid w:val="00390206"/>
    <w:rsid w:val="00390A98"/>
    <w:rsid w:val="0039209B"/>
    <w:rsid w:val="00392FD8"/>
    <w:rsid w:val="00397844"/>
    <w:rsid w:val="003A0F7E"/>
    <w:rsid w:val="003A162E"/>
    <w:rsid w:val="003A1918"/>
    <w:rsid w:val="003A1F71"/>
    <w:rsid w:val="003A29B3"/>
    <w:rsid w:val="003A350B"/>
    <w:rsid w:val="003A798C"/>
    <w:rsid w:val="003B4AE9"/>
    <w:rsid w:val="003B6218"/>
    <w:rsid w:val="003C36D9"/>
    <w:rsid w:val="003C3791"/>
    <w:rsid w:val="003C544E"/>
    <w:rsid w:val="003C566A"/>
    <w:rsid w:val="003D2CE1"/>
    <w:rsid w:val="003D5599"/>
    <w:rsid w:val="003D56F3"/>
    <w:rsid w:val="003D594C"/>
    <w:rsid w:val="003E26AE"/>
    <w:rsid w:val="003E579A"/>
    <w:rsid w:val="003E7A31"/>
    <w:rsid w:val="003F0C32"/>
    <w:rsid w:val="003F202C"/>
    <w:rsid w:val="003F5C27"/>
    <w:rsid w:val="003F6E01"/>
    <w:rsid w:val="003F71DA"/>
    <w:rsid w:val="0040286B"/>
    <w:rsid w:val="0040395B"/>
    <w:rsid w:val="004043BE"/>
    <w:rsid w:val="004051EB"/>
    <w:rsid w:val="0041230A"/>
    <w:rsid w:val="00412AF7"/>
    <w:rsid w:val="00413974"/>
    <w:rsid w:val="00414C6E"/>
    <w:rsid w:val="00416D48"/>
    <w:rsid w:val="00417635"/>
    <w:rsid w:val="00417755"/>
    <w:rsid w:val="00421648"/>
    <w:rsid w:val="004248DB"/>
    <w:rsid w:val="00425C7E"/>
    <w:rsid w:val="0043011B"/>
    <w:rsid w:val="004319DB"/>
    <w:rsid w:val="004326C6"/>
    <w:rsid w:val="00433B5E"/>
    <w:rsid w:val="00433D0A"/>
    <w:rsid w:val="00434473"/>
    <w:rsid w:val="00434BCD"/>
    <w:rsid w:val="00435BA8"/>
    <w:rsid w:val="00435CB9"/>
    <w:rsid w:val="004363A1"/>
    <w:rsid w:val="00436EB6"/>
    <w:rsid w:val="00437E35"/>
    <w:rsid w:val="00440BA1"/>
    <w:rsid w:val="00442BA9"/>
    <w:rsid w:val="00443721"/>
    <w:rsid w:val="00444432"/>
    <w:rsid w:val="00444BB4"/>
    <w:rsid w:val="00447A38"/>
    <w:rsid w:val="00450F85"/>
    <w:rsid w:val="00453360"/>
    <w:rsid w:val="0045463F"/>
    <w:rsid w:val="00455037"/>
    <w:rsid w:val="004610DC"/>
    <w:rsid w:val="004612C7"/>
    <w:rsid w:val="00461532"/>
    <w:rsid w:val="004627F4"/>
    <w:rsid w:val="004632DB"/>
    <w:rsid w:val="00463660"/>
    <w:rsid w:val="00466214"/>
    <w:rsid w:val="00467445"/>
    <w:rsid w:val="00470E1A"/>
    <w:rsid w:val="004737BA"/>
    <w:rsid w:val="00474600"/>
    <w:rsid w:val="00477988"/>
    <w:rsid w:val="004811F2"/>
    <w:rsid w:val="00482568"/>
    <w:rsid w:val="00482CFB"/>
    <w:rsid w:val="00487FFA"/>
    <w:rsid w:val="00492389"/>
    <w:rsid w:val="00493F55"/>
    <w:rsid w:val="00494B23"/>
    <w:rsid w:val="0049579C"/>
    <w:rsid w:val="004A0F7A"/>
    <w:rsid w:val="004A568C"/>
    <w:rsid w:val="004A6044"/>
    <w:rsid w:val="004B11DA"/>
    <w:rsid w:val="004B137B"/>
    <w:rsid w:val="004B2602"/>
    <w:rsid w:val="004B26F8"/>
    <w:rsid w:val="004B3937"/>
    <w:rsid w:val="004B4174"/>
    <w:rsid w:val="004B460D"/>
    <w:rsid w:val="004B7657"/>
    <w:rsid w:val="004C16DF"/>
    <w:rsid w:val="004C1F9F"/>
    <w:rsid w:val="004C1FCA"/>
    <w:rsid w:val="004C2008"/>
    <w:rsid w:val="004C5AAD"/>
    <w:rsid w:val="004C763A"/>
    <w:rsid w:val="004D2F3B"/>
    <w:rsid w:val="004D65E3"/>
    <w:rsid w:val="004D75C5"/>
    <w:rsid w:val="004D7F0B"/>
    <w:rsid w:val="004E2C9A"/>
    <w:rsid w:val="004E3148"/>
    <w:rsid w:val="004E40B0"/>
    <w:rsid w:val="004E4848"/>
    <w:rsid w:val="004E5909"/>
    <w:rsid w:val="004F2E0E"/>
    <w:rsid w:val="004F6692"/>
    <w:rsid w:val="004F7E91"/>
    <w:rsid w:val="00502CE2"/>
    <w:rsid w:val="005030FE"/>
    <w:rsid w:val="0050547D"/>
    <w:rsid w:val="00507273"/>
    <w:rsid w:val="005075E8"/>
    <w:rsid w:val="005104FB"/>
    <w:rsid w:val="00510F3F"/>
    <w:rsid w:val="00511E47"/>
    <w:rsid w:val="00513B72"/>
    <w:rsid w:val="00514D6F"/>
    <w:rsid w:val="005163DF"/>
    <w:rsid w:val="00516F44"/>
    <w:rsid w:val="00517954"/>
    <w:rsid w:val="00517EDE"/>
    <w:rsid w:val="0052230F"/>
    <w:rsid w:val="00524882"/>
    <w:rsid w:val="00524884"/>
    <w:rsid w:val="005263B0"/>
    <w:rsid w:val="0052663C"/>
    <w:rsid w:val="00527CE0"/>
    <w:rsid w:val="00530DC0"/>
    <w:rsid w:val="00532241"/>
    <w:rsid w:val="00532CA8"/>
    <w:rsid w:val="0053436B"/>
    <w:rsid w:val="005356EF"/>
    <w:rsid w:val="005410E0"/>
    <w:rsid w:val="00542397"/>
    <w:rsid w:val="00543993"/>
    <w:rsid w:val="00544366"/>
    <w:rsid w:val="00546594"/>
    <w:rsid w:val="00547CDE"/>
    <w:rsid w:val="00550CA1"/>
    <w:rsid w:val="00551962"/>
    <w:rsid w:val="005527D2"/>
    <w:rsid w:val="00554085"/>
    <w:rsid w:val="00562959"/>
    <w:rsid w:val="00564DD6"/>
    <w:rsid w:val="00565395"/>
    <w:rsid w:val="005676ED"/>
    <w:rsid w:val="00571E2E"/>
    <w:rsid w:val="00572176"/>
    <w:rsid w:val="00572219"/>
    <w:rsid w:val="00575B5F"/>
    <w:rsid w:val="005778A5"/>
    <w:rsid w:val="005807A3"/>
    <w:rsid w:val="00593A71"/>
    <w:rsid w:val="00593B16"/>
    <w:rsid w:val="00595357"/>
    <w:rsid w:val="00595910"/>
    <w:rsid w:val="005A106F"/>
    <w:rsid w:val="005A5145"/>
    <w:rsid w:val="005B0722"/>
    <w:rsid w:val="005B0ECF"/>
    <w:rsid w:val="005B1AC7"/>
    <w:rsid w:val="005B3DAC"/>
    <w:rsid w:val="005B481C"/>
    <w:rsid w:val="005B4DDF"/>
    <w:rsid w:val="005B6A64"/>
    <w:rsid w:val="005C0368"/>
    <w:rsid w:val="005C0D45"/>
    <w:rsid w:val="005C2166"/>
    <w:rsid w:val="005C28D6"/>
    <w:rsid w:val="005C47CC"/>
    <w:rsid w:val="005C6993"/>
    <w:rsid w:val="005C6C67"/>
    <w:rsid w:val="005D0742"/>
    <w:rsid w:val="005D318C"/>
    <w:rsid w:val="005D4F75"/>
    <w:rsid w:val="005D7774"/>
    <w:rsid w:val="005E17E8"/>
    <w:rsid w:val="005E1F45"/>
    <w:rsid w:val="005E261D"/>
    <w:rsid w:val="005E311F"/>
    <w:rsid w:val="005E3741"/>
    <w:rsid w:val="005E4142"/>
    <w:rsid w:val="005E5BEF"/>
    <w:rsid w:val="005E6505"/>
    <w:rsid w:val="005E755B"/>
    <w:rsid w:val="005F0C8C"/>
    <w:rsid w:val="005F0E5C"/>
    <w:rsid w:val="0060247E"/>
    <w:rsid w:val="00605F0D"/>
    <w:rsid w:val="00606575"/>
    <w:rsid w:val="006135CD"/>
    <w:rsid w:val="00616941"/>
    <w:rsid w:val="00617405"/>
    <w:rsid w:val="00617932"/>
    <w:rsid w:val="00622771"/>
    <w:rsid w:val="00623F9B"/>
    <w:rsid w:val="00626010"/>
    <w:rsid w:val="00627611"/>
    <w:rsid w:val="00630438"/>
    <w:rsid w:val="00630A44"/>
    <w:rsid w:val="006311F5"/>
    <w:rsid w:val="0063280A"/>
    <w:rsid w:val="00633A61"/>
    <w:rsid w:val="00635270"/>
    <w:rsid w:val="00635C1A"/>
    <w:rsid w:val="00636D8B"/>
    <w:rsid w:val="00641424"/>
    <w:rsid w:val="00644FA2"/>
    <w:rsid w:val="006507B5"/>
    <w:rsid w:val="00650A0B"/>
    <w:rsid w:val="00653B2A"/>
    <w:rsid w:val="00653BE7"/>
    <w:rsid w:val="00660588"/>
    <w:rsid w:val="006614E3"/>
    <w:rsid w:val="00663247"/>
    <w:rsid w:val="00663F5A"/>
    <w:rsid w:val="00663FB9"/>
    <w:rsid w:val="00664DF5"/>
    <w:rsid w:val="00665F71"/>
    <w:rsid w:val="00670AB7"/>
    <w:rsid w:val="0067465E"/>
    <w:rsid w:val="00675233"/>
    <w:rsid w:val="00675BCF"/>
    <w:rsid w:val="00675EAC"/>
    <w:rsid w:val="00680D7E"/>
    <w:rsid w:val="00680E72"/>
    <w:rsid w:val="006839E3"/>
    <w:rsid w:val="00685672"/>
    <w:rsid w:val="00687C84"/>
    <w:rsid w:val="00690FB0"/>
    <w:rsid w:val="0069116E"/>
    <w:rsid w:val="00692876"/>
    <w:rsid w:val="006928FC"/>
    <w:rsid w:val="00693920"/>
    <w:rsid w:val="006941EC"/>
    <w:rsid w:val="00696C7B"/>
    <w:rsid w:val="006A2302"/>
    <w:rsid w:val="006A3949"/>
    <w:rsid w:val="006A4B2B"/>
    <w:rsid w:val="006A57EE"/>
    <w:rsid w:val="006A594C"/>
    <w:rsid w:val="006A5F92"/>
    <w:rsid w:val="006A6AD3"/>
    <w:rsid w:val="006A7DE0"/>
    <w:rsid w:val="006B0D45"/>
    <w:rsid w:val="006B249F"/>
    <w:rsid w:val="006B34BF"/>
    <w:rsid w:val="006B61EB"/>
    <w:rsid w:val="006C04F8"/>
    <w:rsid w:val="006C05B4"/>
    <w:rsid w:val="006C0C45"/>
    <w:rsid w:val="006C1E37"/>
    <w:rsid w:val="006C2207"/>
    <w:rsid w:val="006C30F1"/>
    <w:rsid w:val="006C7AEB"/>
    <w:rsid w:val="006D397D"/>
    <w:rsid w:val="006D3BAE"/>
    <w:rsid w:val="006D4E1F"/>
    <w:rsid w:val="006D7CF6"/>
    <w:rsid w:val="006E12B2"/>
    <w:rsid w:val="006E2D66"/>
    <w:rsid w:val="006E452C"/>
    <w:rsid w:val="006E6EC1"/>
    <w:rsid w:val="006F3F9C"/>
    <w:rsid w:val="006F6BEE"/>
    <w:rsid w:val="006F7C80"/>
    <w:rsid w:val="0070087D"/>
    <w:rsid w:val="00701F38"/>
    <w:rsid w:val="00702741"/>
    <w:rsid w:val="0070341F"/>
    <w:rsid w:val="00704311"/>
    <w:rsid w:val="007049E8"/>
    <w:rsid w:val="00704D81"/>
    <w:rsid w:val="00706F45"/>
    <w:rsid w:val="007077DE"/>
    <w:rsid w:val="007102A3"/>
    <w:rsid w:val="00711876"/>
    <w:rsid w:val="00713EB9"/>
    <w:rsid w:val="00714246"/>
    <w:rsid w:val="007149FC"/>
    <w:rsid w:val="007155B8"/>
    <w:rsid w:val="00715F95"/>
    <w:rsid w:val="00721BC0"/>
    <w:rsid w:val="00726216"/>
    <w:rsid w:val="00727363"/>
    <w:rsid w:val="00730D92"/>
    <w:rsid w:val="00730FA3"/>
    <w:rsid w:val="00733185"/>
    <w:rsid w:val="00735A95"/>
    <w:rsid w:val="00746085"/>
    <w:rsid w:val="00747484"/>
    <w:rsid w:val="007546C2"/>
    <w:rsid w:val="0075541D"/>
    <w:rsid w:val="00756538"/>
    <w:rsid w:val="0076042F"/>
    <w:rsid w:val="007604D1"/>
    <w:rsid w:val="00761084"/>
    <w:rsid w:val="0076159B"/>
    <w:rsid w:val="0076262F"/>
    <w:rsid w:val="00764883"/>
    <w:rsid w:val="00765B71"/>
    <w:rsid w:val="0076644F"/>
    <w:rsid w:val="007725B2"/>
    <w:rsid w:val="00773F33"/>
    <w:rsid w:val="00773FA1"/>
    <w:rsid w:val="0077458B"/>
    <w:rsid w:val="00776536"/>
    <w:rsid w:val="00776B49"/>
    <w:rsid w:val="007771E6"/>
    <w:rsid w:val="00777BEA"/>
    <w:rsid w:val="0078121B"/>
    <w:rsid w:val="00784314"/>
    <w:rsid w:val="0079222E"/>
    <w:rsid w:val="00792518"/>
    <w:rsid w:val="0079546E"/>
    <w:rsid w:val="007957C2"/>
    <w:rsid w:val="00796745"/>
    <w:rsid w:val="007A0023"/>
    <w:rsid w:val="007A5094"/>
    <w:rsid w:val="007A78C8"/>
    <w:rsid w:val="007A7DA2"/>
    <w:rsid w:val="007B0DB6"/>
    <w:rsid w:val="007B2051"/>
    <w:rsid w:val="007B3A43"/>
    <w:rsid w:val="007B7340"/>
    <w:rsid w:val="007B7762"/>
    <w:rsid w:val="007C2EEC"/>
    <w:rsid w:val="007C3D41"/>
    <w:rsid w:val="007C53FE"/>
    <w:rsid w:val="007C5752"/>
    <w:rsid w:val="007D0100"/>
    <w:rsid w:val="007D07E5"/>
    <w:rsid w:val="007D1647"/>
    <w:rsid w:val="007D19AE"/>
    <w:rsid w:val="007D1E45"/>
    <w:rsid w:val="007D2CAF"/>
    <w:rsid w:val="007D452C"/>
    <w:rsid w:val="007E131F"/>
    <w:rsid w:val="007E221C"/>
    <w:rsid w:val="007E3F84"/>
    <w:rsid w:val="007F04C2"/>
    <w:rsid w:val="007F3B9A"/>
    <w:rsid w:val="007F69DD"/>
    <w:rsid w:val="007F6C7C"/>
    <w:rsid w:val="007F7969"/>
    <w:rsid w:val="0080240A"/>
    <w:rsid w:val="008030C0"/>
    <w:rsid w:val="008032F3"/>
    <w:rsid w:val="00803CE1"/>
    <w:rsid w:val="008046EC"/>
    <w:rsid w:val="00805FBC"/>
    <w:rsid w:val="00807908"/>
    <w:rsid w:val="00810A67"/>
    <w:rsid w:val="00810BF5"/>
    <w:rsid w:val="008118C0"/>
    <w:rsid w:val="0081318C"/>
    <w:rsid w:val="00820DE3"/>
    <w:rsid w:val="00823A37"/>
    <w:rsid w:val="008247EF"/>
    <w:rsid w:val="0082700A"/>
    <w:rsid w:val="00833834"/>
    <w:rsid w:val="008374EC"/>
    <w:rsid w:val="0084085B"/>
    <w:rsid w:val="00841425"/>
    <w:rsid w:val="00841504"/>
    <w:rsid w:val="008428FD"/>
    <w:rsid w:val="00843DAA"/>
    <w:rsid w:val="008470B3"/>
    <w:rsid w:val="00847D8A"/>
    <w:rsid w:val="00847DB9"/>
    <w:rsid w:val="008524EA"/>
    <w:rsid w:val="00853B41"/>
    <w:rsid w:val="00854309"/>
    <w:rsid w:val="008554AD"/>
    <w:rsid w:val="00855F84"/>
    <w:rsid w:val="00860A4D"/>
    <w:rsid w:val="0086257C"/>
    <w:rsid w:val="008645C7"/>
    <w:rsid w:val="00866779"/>
    <w:rsid w:val="00871B52"/>
    <w:rsid w:val="0087204D"/>
    <w:rsid w:val="0087291A"/>
    <w:rsid w:val="00872FCC"/>
    <w:rsid w:val="00874791"/>
    <w:rsid w:val="00874EDD"/>
    <w:rsid w:val="008757EA"/>
    <w:rsid w:val="00876660"/>
    <w:rsid w:val="008767A9"/>
    <w:rsid w:val="00880150"/>
    <w:rsid w:val="00880A57"/>
    <w:rsid w:val="008816B2"/>
    <w:rsid w:val="00881CEF"/>
    <w:rsid w:val="00882A97"/>
    <w:rsid w:val="00883254"/>
    <w:rsid w:val="0088429D"/>
    <w:rsid w:val="00884DE9"/>
    <w:rsid w:val="00885949"/>
    <w:rsid w:val="00886BA1"/>
    <w:rsid w:val="00890285"/>
    <w:rsid w:val="0089211A"/>
    <w:rsid w:val="00892727"/>
    <w:rsid w:val="00896C5F"/>
    <w:rsid w:val="00896ED8"/>
    <w:rsid w:val="008A1978"/>
    <w:rsid w:val="008A1C15"/>
    <w:rsid w:val="008A2764"/>
    <w:rsid w:val="008A4766"/>
    <w:rsid w:val="008A52E1"/>
    <w:rsid w:val="008A740A"/>
    <w:rsid w:val="008A74C9"/>
    <w:rsid w:val="008B0A09"/>
    <w:rsid w:val="008B1D6A"/>
    <w:rsid w:val="008B2D93"/>
    <w:rsid w:val="008B301A"/>
    <w:rsid w:val="008B408E"/>
    <w:rsid w:val="008B64B2"/>
    <w:rsid w:val="008C1243"/>
    <w:rsid w:val="008C247B"/>
    <w:rsid w:val="008C4066"/>
    <w:rsid w:val="008C55F5"/>
    <w:rsid w:val="008C5763"/>
    <w:rsid w:val="008C5CB6"/>
    <w:rsid w:val="008C7806"/>
    <w:rsid w:val="008C7CEC"/>
    <w:rsid w:val="008D2033"/>
    <w:rsid w:val="008D487F"/>
    <w:rsid w:val="008D526B"/>
    <w:rsid w:val="008D5E8E"/>
    <w:rsid w:val="008D61D5"/>
    <w:rsid w:val="008D760C"/>
    <w:rsid w:val="008E127D"/>
    <w:rsid w:val="008E3031"/>
    <w:rsid w:val="008F402E"/>
    <w:rsid w:val="0090406D"/>
    <w:rsid w:val="0090553C"/>
    <w:rsid w:val="00910FC3"/>
    <w:rsid w:val="00911AB7"/>
    <w:rsid w:val="00913AFD"/>
    <w:rsid w:val="00915AF8"/>
    <w:rsid w:val="00917C7A"/>
    <w:rsid w:val="00921300"/>
    <w:rsid w:val="00921A56"/>
    <w:rsid w:val="00921B55"/>
    <w:rsid w:val="00925DE9"/>
    <w:rsid w:val="009263C6"/>
    <w:rsid w:val="00927E48"/>
    <w:rsid w:val="00932FCC"/>
    <w:rsid w:val="0093653E"/>
    <w:rsid w:val="00941685"/>
    <w:rsid w:val="00946BE3"/>
    <w:rsid w:val="009479DB"/>
    <w:rsid w:val="009502AB"/>
    <w:rsid w:val="00950E3D"/>
    <w:rsid w:val="009533CD"/>
    <w:rsid w:val="00955330"/>
    <w:rsid w:val="009566F6"/>
    <w:rsid w:val="0095707F"/>
    <w:rsid w:val="00957231"/>
    <w:rsid w:val="00963EAA"/>
    <w:rsid w:val="00967D1A"/>
    <w:rsid w:val="00972144"/>
    <w:rsid w:val="00972593"/>
    <w:rsid w:val="009730EA"/>
    <w:rsid w:val="0097482B"/>
    <w:rsid w:val="00976D68"/>
    <w:rsid w:val="00977ECA"/>
    <w:rsid w:val="00980A81"/>
    <w:rsid w:val="00982264"/>
    <w:rsid w:val="00982F58"/>
    <w:rsid w:val="0098487F"/>
    <w:rsid w:val="00991175"/>
    <w:rsid w:val="0099223B"/>
    <w:rsid w:val="0099301B"/>
    <w:rsid w:val="00994250"/>
    <w:rsid w:val="009943A1"/>
    <w:rsid w:val="009A040E"/>
    <w:rsid w:val="009A3628"/>
    <w:rsid w:val="009A46AA"/>
    <w:rsid w:val="009A59AE"/>
    <w:rsid w:val="009A6BC3"/>
    <w:rsid w:val="009B1FC9"/>
    <w:rsid w:val="009B2C42"/>
    <w:rsid w:val="009B683D"/>
    <w:rsid w:val="009C2374"/>
    <w:rsid w:val="009C3992"/>
    <w:rsid w:val="009C5888"/>
    <w:rsid w:val="009C6D7A"/>
    <w:rsid w:val="009D54AC"/>
    <w:rsid w:val="009D5FE9"/>
    <w:rsid w:val="009D61CC"/>
    <w:rsid w:val="009D724B"/>
    <w:rsid w:val="009E1B2D"/>
    <w:rsid w:val="009E2415"/>
    <w:rsid w:val="009E2D9B"/>
    <w:rsid w:val="009E3765"/>
    <w:rsid w:val="009F1C8C"/>
    <w:rsid w:val="009F2E7D"/>
    <w:rsid w:val="009F42F0"/>
    <w:rsid w:val="009F4C33"/>
    <w:rsid w:val="009F5221"/>
    <w:rsid w:val="009F5AF7"/>
    <w:rsid w:val="009F7DEF"/>
    <w:rsid w:val="00A01302"/>
    <w:rsid w:val="00A017CB"/>
    <w:rsid w:val="00A020A9"/>
    <w:rsid w:val="00A032DF"/>
    <w:rsid w:val="00A033A1"/>
    <w:rsid w:val="00A06ED1"/>
    <w:rsid w:val="00A07A02"/>
    <w:rsid w:val="00A10FFC"/>
    <w:rsid w:val="00A1151C"/>
    <w:rsid w:val="00A14C7D"/>
    <w:rsid w:val="00A14F07"/>
    <w:rsid w:val="00A163BB"/>
    <w:rsid w:val="00A164CF"/>
    <w:rsid w:val="00A16CDA"/>
    <w:rsid w:val="00A202F7"/>
    <w:rsid w:val="00A22125"/>
    <w:rsid w:val="00A22794"/>
    <w:rsid w:val="00A24852"/>
    <w:rsid w:val="00A258C0"/>
    <w:rsid w:val="00A2683B"/>
    <w:rsid w:val="00A26A55"/>
    <w:rsid w:val="00A35BAB"/>
    <w:rsid w:val="00A401FB"/>
    <w:rsid w:val="00A452BF"/>
    <w:rsid w:val="00A4647A"/>
    <w:rsid w:val="00A46522"/>
    <w:rsid w:val="00A46696"/>
    <w:rsid w:val="00A51406"/>
    <w:rsid w:val="00A52247"/>
    <w:rsid w:val="00A53543"/>
    <w:rsid w:val="00A558E7"/>
    <w:rsid w:val="00A56522"/>
    <w:rsid w:val="00A61572"/>
    <w:rsid w:val="00A67950"/>
    <w:rsid w:val="00A70DF7"/>
    <w:rsid w:val="00A70E24"/>
    <w:rsid w:val="00A75E20"/>
    <w:rsid w:val="00A77156"/>
    <w:rsid w:val="00A77F4F"/>
    <w:rsid w:val="00A804BF"/>
    <w:rsid w:val="00A81D02"/>
    <w:rsid w:val="00A82511"/>
    <w:rsid w:val="00A83591"/>
    <w:rsid w:val="00A86EC1"/>
    <w:rsid w:val="00A90348"/>
    <w:rsid w:val="00A91625"/>
    <w:rsid w:val="00A94EA0"/>
    <w:rsid w:val="00A97CA6"/>
    <w:rsid w:val="00AA258E"/>
    <w:rsid w:val="00AA64AC"/>
    <w:rsid w:val="00AA669D"/>
    <w:rsid w:val="00AA7F36"/>
    <w:rsid w:val="00AB004E"/>
    <w:rsid w:val="00AB09A1"/>
    <w:rsid w:val="00AB1B28"/>
    <w:rsid w:val="00AB21B4"/>
    <w:rsid w:val="00AB5BFF"/>
    <w:rsid w:val="00AC00E0"/>
    <w:rsid w:val="00AC2B65"/>
    <w:rsid w:val="00AC2C06"/>
    <w:rsid w:val="00AC45BF"/>
    <w:rsid w:val="00AC4CF5"/>
    <w:rsid w:val="00AC5501"/>
    <w:rsid w:val="00AD057F"/>
    <w:rsid w:val="00AD1CF1"/>
    <w:rsid w:val="00AD1E43"/>
    <w:rsid w:val="00AD2ADD"/>
    <w:rsid w:val="00AD481F"/>
    <w:rsid w:val="00AD5CB9"/>
    <w:rsid w:val="00AD65C6"/>
    <w:rsid w:val="00AD6C8E"/>
    <w:rsid w:val="00AE1F4C"/>
    <w:rsid w:val="00AE49BB"/>
    <w:rsid w:val="00AF0AD2"/>
    <w:rsid w:val="00AF10E4"/>
    <w:rsid w:val="00AF14E8"/>
    <w:rsid w:val="00AF56DC"/>
    <w:rsid w:val="00B0278D"/>
    <w:rsid w:val="00B11207"/>
    <w:rsid w:val="00B1166B"/>
    <w:rsid w:val="00B12562"/>
    <w:rsid w:val="00B147C7"/>
    <w:rsid w:val="00B1555C"/>
    <w:rsid w:val="00B16585"/>
    <w:rsid w:val="00B1719A"/>
    <w:rsid w:val="00B226CF"/>
    <w:rsid w:val="00B249BF"/>
    <w:rsid w:val="00B310B1"/>
    <w:rsid w:val="00B3162D"/>
    <w:rsid w:val="00B33E24"/>
    <w:rsid w:val="00B3692B"/>
    <w:rsid w:val="00B36A57"/>
    <w:rsid w:val="00B408D0"/>
    <w:rsid w:val="00B41C97"/>
    <w:rsid w:val="00B4245E"/>
    <w:rsid w:val="00B51125"/>
    <w:rsid w:val="00B56CED"/>
    <w:rsid w:val="00B56E4A"/>
    <w:rsid w:val="00B56EC5"/>
    <w:rsid w:val="00B61526"/>
    <w:rsid w:val="00B62DCA"/>
    <w:rsid w:val="00B6698A"/>
    <w:rsid w:val="00B66BF4"/>
    <w:rsid w:val="00B73253"/>
    <w:rsid w:val="00B74A56"/>
    <w:rsid w:val="00B75566"/>
    <w:rsid w:val="00B765A1"/>
    <w:rsid w:val="00B7743D"/>
    <w:rsid w:val="00B81CE2"/>
    <w:rsid w:val="00B83157"/>
    <w:rsid w:val="00B83EB7"/>
    <w:rsid w:val="00B9107B"/>
    <w:rsid w:val="00B9147F"/>
    <w:rsid w:val="00B92365"/>
    <w:rsid w:val="00B923EB"/>
    <w:rsid w:val="00B9415A"/>
    <w:rsid w:val="00B97640"/>
    <w:rsid w:val="00BA0323"/>
    <w:rsid w:val="00BA0E11"/>
    <w:rsid w:val="00BA2D25"/>
    <w:rsid w:val="00BA321C"/>
    <w:rsid w:val="00BA3C19"/>
    <w:rsid w:val="00BA45FE"/>
    <w:rsid w:val="00BA4A40"/>
    <w:rsid w:val="00BA609D"/>
    <w:rsid w:val="00BA6562"/>
    <w:rsid w:val="00BB1A5C"/>
    <w:rsid w:val="00BB2150"/>
    <w:rsid w:val="00BB3827"/>
    <w:rsid w:val="00BB4AD6"/>
    <w:rsid w:val="00BB76F4"/>
    <w:rsid w:val="00BC14A3"/>
    <w:rsid w:val="00BC2C1E"/>
    <w:rsid w:val="00BC6A62"/>
    <w:rsid w:val="00BC712B"/>
    <w:rsid w:val="00BD2035"/>
    <w:rsid w:val="00BE00A6"/>
    <w:rsid w:val="00BE1542"/>
    <w:rsid w:val="00BE4D73"/>
    <w:rsid w:val="00BF1394"/>
    <w:rsid w:val="00BF19B6"/>
    <w:rsid w:val="00BF4B40"/>
    <w:rsid w:val="00BF6B27"/>
    <w:rsid w:val="00BF6FFA"/>
    <w:rsid w:val="00BF71EA"/>
    <w:rsid w:val="00BF7B6B"/>
    <w:rsid w:val="00C018A4"/>
    <w:rsid w:val="00C05384"/>
    <w:rsid w:val="00C07204"/>
    <w:rsid w:val="00C07891"/>
    <w:rsid w:val="00C078BF"/>
    <w:rsid w:val="00C07FB7"/>
    <w:rsid w:val="00C147A0"/>
    <w:rsid w:val="00C1540D"/>
    <w:rsid w:val="00C204A7"/>
    <w:rsid w:val="00C24DCD"/>
    <w:rsid w:val="00C262A5"/>
    <w:rsid w:val="00C2686F"/>
    <w:rsid w:val="00C30A46"/>
    <w:rsid w:val="00C31BC3"/>
    <w:rsid w:val="00C32AC8"/>
    <w:rsid w:val="00C33B7F"/>
    <w:rsid w:val="00C35D3F"/>
    <w:rsid w:val="00C36D9B"/>
    <w:rsid w:val="00C37A70"/>
    <w:rsid w:val="00C4362E"/>
    <w:rsid w:val="00C62119"/>
    <w:rsid w:val="00C62407"/>
    <w:rsid w:val="00C64442"/>
    <w:rsid w:val="00C678F2"/>
    <w:rsid w:val="00C737C7"/>
    <w:rsid w:val="00C75511"/>
    <w:rsid w:val="00C80B95"/>
    <w:rsid w:val="00C82AEC"/>
    <w:rsid w:val="00C830E6"/>
    <w:rsid w:val="00C84059"/>
    <w:rsid w:val="00C845E3"/>
    <w:rsid w:val="00C85436"/>
    <w:rsid w:val="00C87484"/>
    <w:rsid w:val="00C9086E"/>
    <w:rsid w:val="00C91F25"/>
    <w:rsid w:val="00C91FDB"/>
    <w:rsid w:val="00C94C89"/>
    <w:rsid w:val="00C95A53"/>
    <w:rsid w:val="00CA0E00"/>
    <w:rsid w:val="00CA2673"/>
    <w:rsid w:val="00CA50F7"/>
    <w:rsid w:val="00CA5CD8"/>
    <w:rsid w:val="00CB2206"/>
    <w:rsid w:val="00CB2246"/>
    <w:rsid w:val="00CB3395"/>
    <w:rsid w:val="00CB3B71"/>
    <w:rsid w:val="00CB554A"/>
    <w:rsid w:val="00CB61D8"/>
    <w:rsid w:val="00CB7392"/>
    <w:rsid w:val="00CB7E42"/>
    <w:rsid w:val="00CB7F70"/>
    <w:rsid w:val="00CC0544"/>
    <w:rsid w:val="00CC0BBF"/>
    <w:rsid w:val="00CC4216"/>
    <w:rsid w:val="00CC44DF"/>
    <w:rsid w:val="00CC4C20"/>
    <w:rsid w:val="00CC5421"/>
    <w:rsid w:val="00CC583E"/>
    <w:rsid w:val="00CC6290"/>
    <w:rsid w:val="00CC6713"/>
    <w:rsid w:val="00CC6B3F"/>
    <w:rsid w:val="00CD2202"/>
    <w:rsid w:val="00CD274A"/>
    <w:rsid w:val="00CD3368"/>
    <w:rsid w:val="00CD42AC"/>
    <w:rsid w:val="00CD436C"/>
    <w:rsid w:val="00CD6569"/>
    <w:rsid w:val="00CD67E1"/>
    <w:rsid w:val="00CD6FA5"/>
    <w:rsid w:val="00CE0A44"/>
    <w:rsid w:val="00CE3E90"/>
    <w:rsid w:val="00CE4CA6"/>
    <w:rsid w:val="00CE603C"/>
    <w:rsid w:val="00CE6E8F"/>
    <w:rsid w:val="00CE766D"/>
    <w:rsid w:val="00CF128A"/>
    <w:rsid w:val="00CF135F"/>
    <w:rsid w:val="00CF3428"/>
    <w:rsid w:val="00CF4795"/>
    <w:rsid w:val="00CF55B4"/>
    <w:rsid w:val="00CF588C"/>
    <w:rsid w:val="00CF76D3"/>
    <w:rsid w:val="00D02076"/>
    <w:rsid w:val="00D02090"/>
    <w:rsid w:val="00D045AB"/>
    <w:rsid w:val="00D047C0"/>
    <w:rsid w:val="00D04F69"/>
    <w:rsid w:val="00D06168"/>
    <w:rsid w:val="00D061CF"/>
    <w:rsid w:val="00D11479"/>
    <w:rsid w:val="00D1320C"/>
    <w:rsid w:val="00D17019"/>
    <w:rsid w:val="00D20682"/>
    <w:rsid w:val="00D21C18"/>
    <w:rsid w:val="00D21E3D"/>
    <w:rsid w:val="00D25CC4"/>
    <w:rsid w:val="00D26E52"/>
    <w:rsid w:val="00D30920"/>
    <w:rsid w:val="00D309CD"/>
    <w:rsid w:val="00D33FF0"/>
    <w:rsid w:val="00D35A45"/>
    <w:rsid w:val="00D367DE"/>
    <w:rsid w:val="00D434D0"/>
    <w:rsid w:val="00D43E24"/>
    <w:rsid w:val="00D43E67"/>
    <w:rsid w:val="00D461A6"/>
    <w:rsid w:val="00D501FB"/>
    <w:rsid w:val="00D51092"/>
    <w:rsid w:val="00D51CBF"/>
    <w:rsid w:val="00D527CC"/>
    <w:rsid w:val="00D553EF"/>
    <w:rsid w:val="00D565F0"/>
    <w:rsid w:val="00D57C22"/>
    <w:rsid w:val="00D60974"/>
    <w:rsid w:val="00D61BE3"/>
    <w:rsid w:val="00D61C2C"/>
    <w:rsid w:val="00D71592"/>
    <w:rsid w:val="00D71AB3"/>
    <w:rsid w:val="00D72104"/>
    <w:rsid w:val="00D725DF"/>
    <w:rsid w:val="00D730CE"/>
    <w:rsid w:val="00D74866"/>
    <w:rsid w:val="00D8067B"/>
    <w:rsid w:val="00D8194A"/>
    <w:rsid w:val="00D874FF"/>
    <w:rsid w:val="00D87C6E"/>
    <w:rsid w:val="00D912C5"/>
    <w:rsid w:val="00D91862"/>
    <w:rsid w:val="00D926A0"/>
    <w:rsid w:val="00D93623"/>
    <w:rsid w:val="00D93861"/>
    <w:rsid w:val="00D95B73"/>
    <w:rsid w:val="00D96ADA"/>
    <w:rsid w:val="00DA0A4A"/>
    <w:rsid w:val="00DA0CD2"/>
    <w:rsid w:val="00DA2115"/>
    <w:rsid w:val="00DA2752"/>
    <w:rsid w:val="00DA3238"/>
    <w:rsid w:val="00DA325D"/>
    <w:rsid w:val="00DA34F1"/>
    <w:rsid w:val="00DA4FBD"/>
    <w:rsid w:val="00DA63CB"/>
    <w:rsid w:val="00DA6DE1"/>
    <w:rsid w:val="00DB03D6"/>
    <w:rsid w:val="00DB0881"/>
    <w:rsid w:val="00DB1617"/>
    <w:rsid w:val="00DB17B0"/>
    <w:rsid w:val="00DB1EE2"/>
    <w:rsid w:val="00DB1FB4"/>
    <w:rsid w:val="00DB28C3"/>
    <w:rsid w:val="00DB2A6C"/>
    <w:rsid w:val="00DB3A57"/>
    <w:rsid w:val="00DB467B"/>
    <w:rsid w:val="00DB5273"/>
    <w:rsid w:val="00DB5D4A"/>
    <w:rsid w:val="00DB6E90"/>
    <w:rsid w:val="00DB7A82"/>
    <w:rsid w:val="00DC051E"/>
    <w:rsid w:val="00DC4273"/>
    <w:rsid w:val="00DC5931"/>
    <w:rsid w:val="00DC5971"/>
    <w:rsid w:val="00DC608F"/>
    <w:rsid w:val="00DD0031"/>
    <w:rsid w:val="00DD1054"/>
    <w:rsid w:val="00DD201B"/>
    <w:rsid w:val="00DD2772"/>
    <w:rsid w:val="00DD4D4A"/>
    <w:rsid w:val="00DD6D85"/>
    <w:rsid w:val="00DE05CD"/>
    <w:rsid w:val="00DE12F5"/>
    <w:rsid w:val="00DE1452"/>
    <w:rsid w:val="00DE1C88"/>
    <w:rsid w:val="00DE2512"/>
    <w:rsid w:val="00DE400E"/>
    <w:rsid w:val="00DE499A"/>
    <w:rsid w:val="00DE4ACA"/>
    <w:rsid w:val="00DE4F72"/>
    <w:rsid w:val="00DF15BB"/>
    <w:rsid w:val="00DF24C2"/>
    <w:rsid w:val="00DF3228"/>
    <w:rsid w:val="00DF5CD6"/>
    <w:rsid w:val="00DF5EA2"/>
    <w:rsid w:val="00E02B51"/>
    <w:rsid w:val="00E0472A"/>
    <w:rsid w:val="00E064C6"/>
    <w:rsid w:val="00E100B3"/>
    <w:rsid w:val="00E1099C"/>
    <w:rsid w:val="00E11826"/>
    <w:rsid w:val="00E124E5"/>
    <w:rsid w:val="00E15772"/>
    <w:rsid w:val="00E15DB5"/>
    <w:rsid w:val="00E17008"/>
    <w:rsid w:val="00E22598"/>
    <w:rsid w:val="00E2275A"/>
    <w:rsid w:val="00E24A54"/>
    <w:rsid w:val="00E30BA7"/>
    <w:rsid w:val="00E30F9B"/>
    <w:rsid w:val="00E30FB2"/>
    <w:rsid w:val="00E3418F"/>
    <w:rsid w:val="00E34D90"/>
    <w:rsid w:val="00E37E3F"/>
    <w:rsid w:val="00E41A6C"/>
    <w:rsid w:val="00E43161"/>
    <w:rsid w:val="00E508A4"/>
    <w:rsid w:val="00E516A3"/>
    <w:rsid w:val="00E561C8"/>
    <w:rsid w:val="00E56D94"/>
    <w:rsid w:val="00E57269"/>
    <w:rsid w:val="00E57F74"/>
    <w:rsid w:val="00E64343"/>
    <w:rsid w:val="00E6604D"/>
    <w:rsid w:val="00E66468"/>
    <w:rsid w:val="00E71161"/>
    <w:rsid w:val="00E713E7"/>
    <w:rsid w:val="00E721B8"/>
    <w:rsid w:val="00E80A74"/>
    <w:rsid w:val="00E82AE2"/>
    <w:rsid w:val="00E83615"/>
    <w:rsid w:val="00E8406C"/>
    <w:rsid w:val="00E86E3C"/>
    <w:rsid w:val="00E870A4"/>
    <w:rsid w:val="00E9168A"/>
    <w:rsid w:val="00E91EC3"/>
    <w:rsid w:val="00E9596F"/>
    <w:rsid w:val="00E95F39"/>
    <w:rsid w:val="00E96550"/>
    <w:rsid w:val="00E965BA"/>
    <w:rsid w:val="00E97C4E"/>
    <w:rsid w:val="00EA1069"/>
    <w:rsid w:val="00EA4838"/>
    <w:rsid w:val="00EA5B63"/>
    <w:rsid w:val="00EA5ED4"/>
    <w:rsid w:val="00EA7790"/>
    <w:rsid w:val="00EB0475"/>
    <w:rsid w:val="00EB12C9"/>
    <w:rsid w:val="00EB1575"/>
    <w:rsid w:val="00EB2732"/>
    <w:rsid w:val="00EB363D"/>
    <w:rsid w:val="00EB7A03"/>
    <w:rsid w:val="00EC2A94"/>
    <w:rsid w:val="00EC37F9"/>
    <w:rsid w:val="00EC3977"/>
    <w:rsid w:val="00EC3B15"/>
    <w:rsid w:val="00ED393C"/>
    <w:rsid w:val="00ED4879"/>
    <w:rsid w:val="00ED49A4"/>
    <w:rsid w:val="00ED58DD"/>
    <w:rsid w:val="00ED69F7"/>
    <w:rsid w:val="00EE21E8"/>
    <w:rsid w:val="00EE3218"/>
    <w:rsid w:val="00EE3A44"/>
    <w:rsid w:val="00EE7581"/>
    <w:rsid w:val="00EF3C9C"/>
    <w:rsid w:val="00EF54C5"/>
    <w:rsid w:val="00EF5936"/>
    <w:rsid w:val="00EF5B9E"/>
    <w:rsid w:val="00EF6D5B"/>
    <w:rsid w:val="00F02DD2"/>
    <w:rsid w:val="00F03101"/>
    <w:rsid w:val="00F05461"/>
    <w:rsid w:val="00F05BE7"/>
    <w:rsid w:val="00F05DC4"/>
    <w:rsid w:val="00F06E5E"/>
    <w:rsid w:val="00F07D53"/>
    <w:rsid w:val="00F205B2"/>
    <w:rsid w:val="00F23471"/>
    <w:rsid w:val="00F25BE5"/>
    <w:rsid w:val="00F25E44"/>
    <w:rsid w:val="00F26FFA"/>
    <w:rsid w:val="00F333BD"/>
    <w:rsid w:val="00F334AA"/>
    <w:rsid w:val="00F33F72"/>
    <w:rsid w:val="00F34C3B"/>
    <w:rsid w:val="00F3677F"/>
    <w:rsid w:val="00F37664"/>
    <w:rsid w:val="00F43F5D"/>
    <w:rsid w:val="00F44813"/>
    <w:rsid w:val="00F50DBB"/>
    <w:rsid w:val="00F5449C"/>
    <w:rsid w:val="00F567B4"/>
    <w:rsid w:val="00F606EC"/>
    <w:rsid w:val="00F62465"/>
    <w:rsid w:val="00F64081"/>
    <w:rsid w:val="00F669F9"/>
    <w:rsid w:val="00F678AB"/>
    <w:rsid w:val="00F70D9D"/>
    <w:rsid w:val="00F73A0E"/>
    <w:rsid w:val="00F82E95"/>
    <w:rsid w:val="00F850E7"/>
    <w:rsid w:val="00F853F7"/>
    <w:rsid w:val="00F87EF8"/>
    <w:rsid w:val="00F91B3B"/>
    <w:rsid w:val="00F91B95"/>
    <w:rsid w:val="00F92972"/>
    <w:rsid w:val="00F92A3A"/>
    <w:rsid w:val="00F947A4"/>
    <w:rsid w:val="00F94A40"/>
    <w:rsid w:val="00F958B9"/>
    <w:rsid w:val="00FA0B0B"/>
    <w:rsid w:val="00FA1F9A"/>
    <w:rsid w:val="00FA2306"/>
    <w:rsid w:val="00FA2546"/>
    <w:rsid w:val="00FA2ECD"/>
    <w:rsid w:val="00FA2F43"/>
    <w:rsid w:val="00FA3060"/>
    <w:rsid w:val="00FA609D"/>
    <w:rsid w:val="00FA6236"/>
    <w:rsid w:val="00FA71A4"/>
    <w:rsid w:val="00FA7BBE"/>
    <w:rsid w:val="00FA7DDB"/>
    <w:rsid w:val="00FB115A"/>
    <w:rsid w:val="00FB119D"/>
    <w:rsid w:val="00FB3136"/>
    <w:rsid w:val="00FB357B"/>
    <w:rsid w:val="00FB5925"/>
    <w:rsid w:val="00FB6CE4"/>
    <w:rsid w:val="00FB76CE"/>
    <w:rsid w:val="00FB7C85"/>
    <w:rsid w:val="00FC108F"/>
    <w:rsid w:val="00FC16DC"/>
    <w:rsid w:val="00FC1B9B"/>
    <w:rsid w:val="00FC29B7"/>
    <w:rsid w:val="00FC4746"/>
    <w:rsid w:val="00FC5455"/>
    <w:rsid w:val="00FC59C7"/>
    <w:rsid w:val="00FD6C8E"/>
    <w:rsid w:val="00FE0B4D"/>
    <w:rsid w:val="00FE1A9D"/>
    <w:rsid w:val="00FE1B98"/>
    <w:rsid w:val="00FE2ADC"/>
    <w:rsid w:val="00FE46CE"/>
    <w:rsid w:val="00FE570F"/>
    <w:rsid w:val="00FF39AF"/>
    <w:rsid w:val="00FF6C45"/>
    <w:rsid w:val="00FF6E05"/>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040F2"/>
    <w:pPr>
      <w:jc w:val="both"/>
    </w:pPr>
    <w:rPr>
      <w:rFonts w:ascii="Verdana" w:hAnsi="Verdana"/>
      <w:sz w:val="22"/>
    </w:rPr>
  </w:style>
  <w:style w:type="paragraph" w:styleId="Heading1">
    <w:name w:val="heading 1"/>
    <w:basedOn w:val="Normal"/>
    <w:next w:val="Heading2"/>
    <w:qFormat/>
    <w:rsid w:val="00BA2D25"/>
    <w:pPr>
      <w:keepNext/>
      <w:widowControl w:val="0"/>
      <w:numPr>
        <w:numId w:val="2"/>
      </w:numPr>
      <w:spacing w:before="220" w:after="60"/>
      <w:jc w:val="left"/>
      <w:outlineLvl w:val="0"/>
    </w:pPr>
    <w:rPr>
      <w:b/>
      <w:color w:val="000000"/>
      <w:kern w:val="28"/>
      <w:szCs w:val="24"/>
    </w:rPr>
  </w:style>
  <w:style w:type="paragraph" w:styleId="Heading2">
    <w:name w:val="heading 2"/>
    <w:basedOn w:val="Normal"/>
    <w:next w:val="Normal"/>
    <w:qFormat/>
    <w:rsid w:val="00BA2D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EE6"/>
    <w:pPr>
      <w:tabs>
        <w:tab w:val="center" w:pos="4678"/>
        <w:tab w:val="right" w:pos="9356"/>
      </w:tabs>
      <w:jc w:val="center"/>
    </w:pPr>
    <w:rPr>
      <w:sz w:val="16"/>
    </w:rPr>
  </w:style>
  <w:style w:type="paragraph" w:customStyle="1" w:styleId="Noindent">
    <w:name w:val="No indent"/>
    <w:basedOn w:val="Normal"/>
    <w:rsid w:val="006C04F8"/>
    <w:pPr>
      <w:tabs>
        <w:tab w:val="left" w:pos="426"/>
      </w:tabs>
    </w:pPr>
  </w:style>
  <w:style w:type="paragraph" w:customStyle="1" w:styleId="TBullet">
    <w:name w:val="T_Bullet"/>
    <w:basedOn w:val="Normal"/>
    <w:rsid w:val="005527D2"/>
    <w:pPr>
      <w:numPr>
        <w:numId w:val="1"/>
      </w:numPr>
      <w:tabs>
        <w:tab w:val="left" w:pos="851"/>
      </w:tabs>
    </w:pPr>
    <w:rPr>
      <w:color w:val="000000"/>
    </w:rPr>
  </w:style>
  <w:style w:type="paragraph" w:styleId="Footer">
    <w:name w:val="footer"/>
    <w:basedOn w:val="Normal"/>
    <w:rsid w:val="00217470"/>
    <w:pPr>
      <w:tabs>
        <w:tab w:val="center" w:pos="4153"/>
        <w:tab w:val="right" w:pos="8306"/>
      </w:tabs>
    </w:pPr>
  </w:style>
  <w:style w:type="paragraph" w:styleId="BalloonText">
    <w:name w:val="Balloon Text"/>
    <w:basedOn w:val="Normal"/>
    <w:semiHidden/>
    <w:rsid w:val="00216023"/>
    <w:rPr>
      <w:rFonts w:ascii="Tahoma" w:hAnsi="Tahoma" w:cs="Tahoma"/>
      <w:sz w:val="16"/>
      <w:szCs w:val="16"/>
    </w:rPr>
  </w:style>
  <w:style w:type="character" w:styleId="CommentReference">
    <w:name w:val="annotation reference"/>
    <w:semiHidden/>
    <w:rsid w:val="008A52E1"/>
    <w:rPr>
      <w:sz w:val="16"/>
      <w:szCs w:val="16"/>
    </w:rPr>
  </w:style>
  <w:style w:type="paragraph" w:styleId="CommentText">
    <w:name w:val="annotation text"/>
    <w:basedOn w:val="Normal"/>
    <w:semiHidden/>
    <w:rsid w:val="008A52E1"/>
    <w:rPr>
      <w:sz w:val="20"/>
    </w:rPr>
  </w:style>
  <w:style w:type="paragraph" w:styleId="CommentSubject">
    <w:name w:val="annotation subject"/>
    <w:basedOn w:val="CommentText"/>
    <w:next w:val="CommentText"/>
    <w:semiHidden/>
    <w:rsid w:val="008A52E1"/>
    <w:rPr>
      <w:b/>
      <w:bCs/>
    </w:rPr>
  </w:style>
  <w:style w:type="paragraph" w:customStyle="1" w:styleId="Nnumber">
    <w:name w:val="N_number"/>
    <w:link w:val="NnumberChar"/>
    <w:rsid w:val="00BA2D25"/>
    <w:pPr>
      <w:numPr>
        <w:ilvl w:val="1"/>
        <w:numId w:val="2"/>
      </w:numPr>
      <w:spacing w:before="160" w:after="60"/>
    </w:pPr>
    <w:rPr>
      <w:rFonts w:ascii="Verdana" w:hAnsi="Verdana"/>
    </w:rPr>
  </w:style>
  <w:style w:type="character" w:customStyle="1" w:styleId="NnumberChar">
    <w:name w:val="N_number Char"/>
    <w:link w:val="Nnumber"/>
    <w:rsid w:val="00BA2D25"/>
    <w:rPr>
      <w:rFonts w:ascii="Verdana" w:hAnsi="Verdana"/>
      <w:lang w:val="en-GB" w:eastAsia="en-GB" w:bidi="ar-SA"/>
    </w:rPr>
  </w:style>
  <w:style w:type="table" w:styleId="TableGrid">
    <w:name w:val="Table Grid"/>
    <w:basedOn w:val="TableNormal"/>
    <w:rsid w:val="008645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DReportMainHeading">
    <w:name w:val="DPD Report Main Heading"/>
    <w:basedOn w:val="Noindent"/>
    <w:next w:val="DPDReportIssuesHeading"/>
    <w:rsid w:val="00663F5A"/>
    <w:pPr>
      <w:tabs>
        <w:tab w:val="clear" w:pos="426"/>
      </w:tabs>
      <w:spacing w:after="120"/>
      <w:jc w:val="left"/>
    </w:pPr>
    <w:rPr>
      <w:b/>
      <w:sz w:val="32"/>
    </w:rPr>
  </w:style>
  <w:style w:type="paragraph" w:customStyle="1" w:styleId="DPDReportIssuesHeading">
    <w:name w:val="DPD Report Issues Heading"/>
    <w:basedOn w:val="Heading2"/>
    <w:next w:val="DPDReportNumberedParaIntro"/>
    <w:autoRedefine/>
    <w:rsid w:val="00F44813"/>
    <w:pPr>
      <w:spacing w:before="0" w:after="120"/>
    </w:pPr>
    <w:rPr>
      <w:rFonts w:ascii="Verdana" w:hAnsi="Verdana"/>
      <w:i w:val="0"/>
      <w:color w:val="3366FF"/>
      <w:sz w:val="22"/>
    </w:rPr>
  </w:style>
  <w:style w:type="paragraph" w:customStyle="1" w:styleId="DPDReportNumberedParaIntro">
    <w:name w:val="DPD Report Numbered Para Intro"/>
    <w:basedOn w:val="Normal"/>
    <w:rsid w:val="00444432"/>
    <w:pPr>
      <w:numPr>
        <w:numId w:val="6"/>
      </w:numPr>
      <w:spacing w:after="240"/>
      <w:jc w:val="left"/>
    </w:pPr>
    <w:rPr>
      <w:rFonts w:eastAsia="MS Mincho"/>
      <w:bCs/>
    </w:rPr>
  </w:style>
  <w:style w:type="paragraph" w:styleId="BodyText">
    <w:name w:val="Body Text"/>
    <w:basedOn w:val="Normal"/>
    <w:rsid w:val="00325A06"/>
    <w:pPr>
      <w:spacing w:after="120"/>
    </w:pPr>
  </w:style>
  <w:style w:type="paragraph" w:customStyle="1" w:styleId="DPDReportRecommendationHeading">
    <w:name w:val="DPD Report Recommendation Heading"/>
    <w:basedOn w:val="Normal"/>
    <w:next w:val="DPDReportNumberedParaIntro"/>
    <w:rsid w:val="000E72D7"/>
    <w:pPr>
      <w:pBdr>
        <w:top w:val="single" w:sz="4" w:space="1" w:color="auto"/>
        <w:left w:val="single" w:sz="4" w:space="4" w:color="auto"/>
        <w:bottom w:val="single" w:sz="4" w:space="1" w:color="auto"/>
        <w:right w:val="single" w:sz="4" w:space="4" w:color="auto"/>
      </w:pBdr>
      <w:jc w:val="left"/>
    </w:pPr>
    <w:rPr>
      <w:b/>
    </w:rPr>
  </w:style>
  <w:style w:type="paragraph" w:customStyle="1" w:styleId="8ptnormal">
    <w:name w:val="8pt normal"/>
    <w:basedOn w:val="Normal"/>
    <w:rsid w:val="00140A42"/>
    <w:pPr>
      <w:ind w:left="-113"/>
      <w:jc w:val="left"/>
    </w:pPr>
    <w:rPr>
      <w:rFonts w:eastAsia="MS Mincho"/>
      <w:sz w:val="16"/>
    </w:rPr>
  </w:style>
  <w:style w:type="paragraph" w:customStyle="1" w:styleId="DPDIssueSubheading">
    <w:name w:val="DPD Issue Sub heading"/>
    <w:basedOn w:val="DPDReportNumberedParaIntro"/>
    <w:autoRedefine/>
    <w:rsid w:val="002129A9"/>
    <w:pPr>
      <w:numPr>
        <w:numId w:val="0"/>
      </w:numPr>
      <w:spacing w:before="120"/>
    </w:pPr>
    <w:rPr>
      <w:b/>
      <w:i/>
    </w:rPr>
  </w:style>
  <w:style w:type="paragraph" w:customStyle="1" w:styleId="DPDIntro">
    <w:name w:val="DPD Intro"/>
    <w:basedOn w:val="DPDReportNumberedParaIntro"/>
    <w:rsid w:val="00663FB9"/>
    <w:pPr>
      <w:numPr>
        <w:numId w:val="0"/>
      </w:numPr>
    </w:pPr>
    <w:rPr>
      <w:b/>
    </w:rPr>
  </w:style>
  <w:style w:type="character" w:styleId="PageNumber">
    <w:name w:val="page number"/>
    <w:basedOn w:val="DefaultParagraphFont"/>
    <w:rsid w:val="00FB3136"/>
  </w:style>
  <w:style w:type="paragraph" w:customStyle="1" w:styleId="DPDNumberedParagraph">
    <w:name w:val="DPD Numbered Paragraph"/>
    <w:basedOn w:val="Noindent"/>
    <w:rsid w:val="009C2374"/>
    <w:pPr>
      <w:numPr>
        <w:numId w:val="9"/>
      </w:numPr>
      <w:tabs>
        <w:tab w:val="clear" w:pos="426"/>
      </w:tabs>
      <w:spacing w:after="240"/>
      <w:jc w:val="left"/>
    </w:pPr>
    <w:rPr>
      <w:szCs w:val="22"/>
    </w:rPr>
  </w:style>
  <w:style w:type="paragraph" w:styleId="FootnoteText">
    <w:name w:val="footnote text"/>
    <w:basedOn w:val="Normal"/>
    <w:semiHidden/>
    <w:rsid w:val="00D02076"/>
    <w:rPr>
      <w:sz w:val="20"/>
    </w:rPr>
  </w:style>
  <w:style w:type="character" w:styleId="FootnoteReference">
    <w:name w:val="footnote reference"/>
    <w:semiHidden/>
    <w:rsid w:val="00D02076"/>
    <w:rPr>
      <w:vertAlign w:val="superscript"/>
    </w:rPr>
  </w:style>
  <w:style w:type="paragraph" w:customStyle="1" w:styleId="Style7ptBlackLeft-019cmRight-019cm">
    <w:name w:val="Style 7 pt Black Left:  -0.19 cm Right:  -0.19 cm"/>
    <w:basedOn w:val="Normal"/>
    <w:rsid w:val="00711876"/>
    <w:pPr>
      <w:ind w:left="-108" w:right="-108"/>
      <w:jc w:val="left"/>
    </w:pPr>
    <w:rPr>
      <w:color w:val="000000"/>
      <w:sz w:val="14"/>
    </w:rPr>
  </w:style>
  <w:style w:type="paragraph" w:customStyle="1" w:styleId="StyleVerdana7ptBlackLeft-02cm">
    <w:name w:val="Style Verdana 7 pt Black Left:  -0.2 cm"/>
    <w:basedOn w:val="Normal"/>
    <w:rsid w:val="00711876"/>
    <w:pPr>
      <w:ind w:left="-113"/>
      <w:jc w:val="left"/>
    </w:pPr>
    <w:rPr>
      <w:color w:val="000000"/>
      <w:sz w:val="14"/>
    </w:rPr>
  </w:style>
  <w:style w:type="paragraph" w:customStyle="1" w:styleId="Nlista">
    <w:name w:val="N_list (a)"/>
    <w:basedOn w:val="Normal"/>
    <w:rsid w:val="00E100B3"/>
    <w:pPr>
      <w:tabs>
        <w:tab w:val="num" w:pos="1440"/>
      </w:tabs>
      <w:spacing w:before="80"/>
      <w:ind w:left="720" w:right="369" w:hanging="360"/>
    </w:pPr>
  </w:style>
  <w:style w:type="paragraph" w:customStyle="1" w:styleId="Nlisti">
    <w:name w:val="N_list (i)"/>
    <w:basedOn w:val="Normal"/>
    <w:rsid w:val="00E100B3"/>
    <w:pPr>
      <w:tabs>
        <w:tab w:val="num" w:pos="2177"/>
      </w:tabs>
      <w:spacing w:before="60"/>
      <w:ind w:left="1134" w:right="511" w:hanging="397"/>
    </w:pPr>
    <w:rPr>
      <w:sz w:val="20"/>
    </w:rPr>
  </w:style>
  <w:style w:type="paragraph" w:customStyle="1" w:styleId="Nlisti0">
    <w:name w:val="N_list i"/>
    <w:rsid w:val="00E100B3"/>
    <w:pPr>
      <w:tabs>
        <w:tab w:val="num" w:pos="1440"/>
      </w:tabs>
      <w:spacing w:before="40"/>
      <w:ind w:left="1440" w:right="516" w:hanging="360"/>
    </w:pPr>
    <w:rPr>
      <w:rFonts w:ascii="Lucida Sans Unicode" w:hAnsi="Lucida Sans Unicode"/>
      <w:noProof/>
      <w:sz w:val="16"/>
    </w:rPr>
  </w:style>
  <w:style w:type="character" w:styleId="Emphasis">
    <w:name w:val="Emphasis"/>
    <w:uiPriority w:val="20"/>
    <w:qFormat/>
    <w:rsid w:val="004612C7"/>
    <w:rPr>
      <w:i/>
      <w:iCs/>
    </w:rPr>
  </w:style>
  <w:style w:type="paragraph" w:styleId="Revision">
    <w:name w:val="Revision"/>
    <w:hidden/>
    <w:uiPriority w:val="99"/>
    <w:semiHidden/>
    <w:rsid w:val="00A202F7"/>
    <w:rPr>
      <w:rFonts w:ascii="Verdana" w:hAnsi="Verdan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040F2"/>
    <w:pPr>
      <w:jc w:val="both"/>
    </w:pPr>
    <w:rPr>
      <w:rFonts w:ascii="Verdana" w:hAnsi="Verdana"/>
      <w:sz w:val="22"/>
    </w:rPr>
  </w:style>
  <w:style w:type="paragraph" w:styleId="Heading1">
    <w:name w:val="heading 1"/>
    <w:basedOn w:val="Normal"/>
    <w:next w:val="Heading2"/>
    <w:qFormat/>
    <w:rsid w:val="00BA2D25"/>
    <w:pPr>
      <w:keepNext/>
      <w:widowControl w:val="0"/>
      <w:numPr>
        <w:numId w:val="2"/>
      </w:numPr>
      <w:spacing w:before="220" w:after="60"/>
      <w:jc w:val="left"/>
      <w:outlineLvl w:val="0"/>
    </w:pPr>
    <w:rPr>
      <w:b/>
      <w:color w:val="000000"/>
      <w:kern w:val="28"/>
      <w:szCs w:val="24"/>
    </w:rPr>
  </w:style>
  <w:style w:type="paragraph" w:styleId="Heading2">
    <w:name w:val="heading 2"/>
    <w:basedOn w:val="Normal"/>
    <w:next w:val="Normal"/>
    <w:qFormat/>
    <w:rsid w:val="00BA2D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EE6"/>
    <w:pPr>
      <w:tabs>
        <w:tab w:val="center" w:pos="4678"/>
        <w:tab w:val="right" w:pos="9356"/>
      </w:tabs>
      <w:jc w:val="center"/>
    </w:pPr>
    <w:rPr>
      <w:sz w:val="16"/>
    </w:rPr>
  </w:style>
  <w:style w:type="paragraph" w:customStyle="1" w:styleId="Noindent">
    <w:name w:val="No indent"/>
    <w:basedOn w:val="Normal"/>
    <w:rsid w:val="006C04F8"/>
    <w:pPr>
      <w:tabs>
        <w:tab w:val="left" w:pos="426"/>
      </w:tabs>
    </w:pPr>
  </w:style>
  <w:style w:type="paragraph" w:customStyle="1" w:styleId="TBullet">
    <w:name w:val="T_Bullet"/>
    <w:basedOn w:val="Normal"/>
    <w:rsid w:val="005527D2"/>
    <w:pPr>
      <w:numPr>
        <w:numId w:val="1"/>
      </w:numPr>
      <w:tabs>
        <w:tab w:val="left" w:pos="851"/>
      </w:tabs>
    </w:pPr>
    <w:rPr>
      <w:color w:val="000000"/>
    </w:rPr>
  </w:style>
  <w:style w:type="paragraph" w:styleId="Footer">
    <w:name w:val="footer"/>
    <w:basedOn w:val="Normal"/>
    <w:rsid w:val="00217470"/>
    <w:pPr>
      <w:tabs>
        <w:tab w:val="center" w:pos="4153"/>
        <w:tab w:val="right" w:pos="8306"/>
      </w:tabs>
    </w:pPr>
  </w:style>
  <w:style w:type="paragraph" w:styleId="BalloonText">
    <w:name w:val="Balloon Text"/>
    <w:basedOn w:val="Normal"/>
    <w:semiHidden/>
    <w:rsid w:val="00216023"/>
    <w:rPr>
      <w:rFonts w:ascii="Tahoma" w:hAnsi="Tahoma" w:cs="Tahoma"/>
      <w:sz w:val="16"/>
      <w:szCs w:val="16"/>
    </w:rPr>
  </w:style>
  <w:style w:type="character" w:styleId="CommentReference">
    <w:name w:val="annotation reference"/>
    <w:semiHidden/>
    <w:rsid w:val="008A52E1"/>
    <w:rPr>
      <w:sz w:val="16"/>
      <w:szCs w:val="16"/>
    </w:rPr>
  </w:style>
  <w:style w:type="paragraph" w:styleId="CommentText">
    <w:name w:val="annotation text"/>
    <w:basedOn w:val="Normal"/>
    <w:semiHidden/>
    <w:rsid w:val="008A52E1"/>
    <w:rPr>
      <w:sz w:val="20"/>
    </w:rPr>
  </w:style>
  <w:style w:type="paragraph" w:styleId="CommentSubject">
    <w:name w:val="annotation subject"/>
    <w:basedOn w:val="CommentText"/>
    <w:next w:val="CommentText"/>
    <w:semiHidden/>
    <w:rsid w:val="008A52E1"/>
    <w:rPr>
      <w:b/>
      <w:bCs/>
    </w:rPr>
  </w:style>
  <w:style w:type="paragraph" w:customStyle="1" w:styleId="Nnumber">
    <w:name w:val="N_number"/>
    <w:link w:val="NnumberChar"/>
    <w:rsid w:val="00BA2D25"/>
    <w:pPr>
      <w:numPr>
        <w:ilvl w:val="1"/>
        <w:numId w:val="2"/>
      </w:numPr>
      <w:spacing w:before="160" w:after="60"/>
    </w:pPr>
    <w:rPr>
      <w:rFonts w:ascii="Verdana" w:hAnsi="Verdana"/>
    </w:rPr>
  </w:style>
  <w:style w:type="character" w:customStyle="1" w:styleId="NnumberChar">
    <w:name w:val="N_number Char"/>
    <w:link w:val="Nnumber"/>
    <w:rsid w:val="00BA2D25"/>
    <w:rPr>
      <w:rFonts w:ascii="Verdana" w:hAnsi="Verdana"/>
      <w:lang w:val="en-GB" w:eastAsia="en-GB" w:bidi="ar-SA"/>
    </w:rPr>
  </w:style>
  <w:style w:type="table" w:styleId="TableGrid">
    <w:name w:val="Table Grid"/>
    <w:basedOn w:val="TableNormal"/>
    <w:rsid w:val="008645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DReportMainHeading">
    <w:name w:val="DPD Report Main Heading"/>
    <w:basedOn w:val="Noindent"/>
    <w:next w:val="DPDReportIssuesHeading"/>
    <w:rsid w:val="00663F5A"/>
    <w:pPr>
      <w:tabs>
        <w:tab w:val="clear" w:pos="426"/>
      </w:tabs>
      <w:spacing w:after="120"/>
      <w:jc w:val="left"/>
    </w:pPr>
    <w:rPr>
      <w:b/>
      <w:sz w:val="32"/>
    </w:rPr>
  </w:style>
  <w:style w:type="paragraph" w:customStyle="1" w:styleId="DPDReportIssuesHeading">
    <w:name w:val="DPD Report Issues Heading"/>
    <w:basedOn w:val="Heading2"/>
    <w:next w:val="DPDReportNumberedParaIntro"/>
    <w:autoRedefine/>
    <w:rsid w:val="00F44813"/>
    <w:pPr>
      <w:spacing w:before="0" w:after="120"/>
    </w:pPr>
    <w:rPr>
      <w:rFonts w:ascii="Verdana" w:hAnsi="Verdana"/>
      <w:i w:val="0"/>
      <w:color w:val="3366FF"/>
      <w:sz w:val="22"/>
    </w:rPr>
  </w:style>
  <w:style w:type="paragraph" w:customStyle="1" w:styleId="DPDReportNumberedParaIntro">
    <w:name w:val="DPD Report Numbered Para Intro"/>
    <w:basedOn w:val="Normal"/>
    <w:rsid w:val="00444432"/>
    <w:pPr>
      <w:numPr>
        <w:numId w:val="6"/>
      </w:numPr>
      <w:spacing w:after="240"/>
      <w:jc w:val="left"/>
    </w:pPr>
    <w:rPr>
      <w:rFonts w:eastAsia="MS Mincho"/>
      <w:bCs/>
    </w:rPr>
  </w:style>
  <w:style w:type="paragraph" w:styleId="BodyText">
    <w:name w:val="Body Text"/>
    <w:basedOn w:val="Normal"/>
    <w:rsid w:val="00325A06"/>
    <w:pPr>
      <w:spacing w:after="120"/>
    </w:pPr>
  </w:style>
  <w:style w:type="paragraph" w:customStyle="1" w:styleId="DPDReportRecommendationHeading">
    <w:name w:val="DPD Report Recommendation Heading"/>
    <w:basedOn w:val="Normal"/>
    <w:next w:val="DPDReportNumberedParaIntro"/>
    <w:rsid w:val="000E72D7"/>
    <w:pPr>
      <w:pBdr>
        <w:top w:val="single" w:sz="4" w:space="1" w:color="auto"/>
        <w:left w:val="single" w:sz="4" w:space="4" w:color="auto"/>
        <w:bottom w:val="single" w:sz="4" w:space="1" w:color="auto"/>
        <w:right w:val="single" w:sz="4" w:space="4" w:color="auto"/>
      </w:pBdr>
      <w:jc w:val="left"/>
    </w:pPr>
    <w:rPr>
      <w:b/>
    </w:rPr>
  </w:style>
  <w:style w:type="paragraph" w:customStyle="1" w:styleId="8ptnormal">
    <w:name w:val="8pt normal"/>
    <w:basedOn w:val="Normal"/>
    <w:rsid w:val="00140A42"/>
    <w:pPr>
      <w:ind w:left="-113"/>
      <w:jc w:val="left"/>
    </w:pPr>
    <w:rPr>
      <w:rFonts w:eastAsia="MS Mincho"/>
      <w:sz w:val="16"/>
    </w:rPr>
  </w:style>
  <w:style w:type="paragraph" w:customStyle="1" w:styleId="DPDIssueSubheading">
    <w:name w:val="DPD Issue Sub heading"/>
    <w:basedOn w:val="DPDReportNumberedParaIntro"/>
    <w:autoRedefine/>
    <w:rsid w:val="002129A9"/>
    <w:pPr>
      <w:numPr>
        <w:numId w:val="0"/>
      </w:numPr>
      <w:spacing w:before="120"/>
    </w:pPr>
    <w:rPr>
      <w:b/>
      <w:i/>
    </w:rPr>
  </w:style>
  <w:style w:type="paragraph" w:customStyle="1" w:styleId="DPDIntro">
    <w:name w:val="DPD Intro"/>
    <w:basedOn w:val="DPDReportNumberedParaIntro"/>
    <w:rsid w:val="00663FB9"/>
    <w:pPr>
      <w:numPr>
        <w:numId w:val="0"/>
      </w:numPr>
    </w:pPr>
    <w:rPr>
      <w:b/>
    </w:rPr>
  </w:style>
  <w:style w:type="character" w:styleId="PageNumber">
    <w:name w:val="page number"/>
    <w:basedOn w:val="DefaultParagraphFont"/>
    <w:rsid w:val="00FB3136"/>
  </w:style>
  <w:style w:type="paragraph" w:customStyle="1" w:styleId="DPDNumberedParagraph">
    <w:name w:val="DPD Numbered Paragraph"/>
    <w:basedOn w:val="Noindent"/>
    <w:rsid w:val="009C2374"/>
    <w:pPr>
      <w:numPr>
        <w:numId w:val="9"/>
      </w:numPr>
      <w:tabs>
        <w:tab w:val="clear" w:pos="426"/>
      </w:tabs>
      <w:spacing w:after="240"/>
      <w:jc w:val="left"/>
    </w:pPr>
    <w:rPr>
      <w:szCs w:val="22"/>
    </w:rPr>
  </w:style>
  <w:style w:type="paragraph" w:styleId="FootnoteText">
    <w:name w:val="footnote text"/>
    <w:basedOn w:val="Normal"/>
    <w:semiHidden/>
    <w:rsid w:val="00D02076"/>
    <w:rPr>
      <w:sz w:val="20"/>
    </w:rPr>
  </w:style>
  <w:style w:type="character" w:styleId="FootnoteReference">
    <w:name w:val="footnote reference"/>
    <w:semiHidden/>
    <w:rsid w:val="00D02076"/>
    <w:rPr>
      <w:vertAlign w:val="superscript"/>
    </w:rPr>
  </w:style>
  <w:style w:type="paragraph" w:customStyle="1" w:styleId="Style7ptBlackLeft-019cmRight-019cm">
    <w:name w:val="Style 7 pt Black Left:  -0.19 cm Right:  -0.19 cm"/>
    <w:basedOn w:val="Normal"/>
    <w:rsid w:val="00711876"/>
    <w:pPr>
      <w:ind w:left="-108" w:right="-108"/>
      <w:jc w:val="left"/>
    </w:pPr>
    <w:rPr>
      <w:color w:val="000000"/>
      <w:sz w:val="14"/>
    </w:rPr>
  </w:style>
  <w:style w:type="paragraph" w:customStyle="1" w:styleId="StyleVerdana7ptBlackLeft-02cm">
    <w:name w:val="Style Verdana 7 pt Black Left:  -0.2 cm"/>
    <w:basedOn w:val="Normal"/>
    <w:rsid w:val="00711876"/>
    <w:pPr>
      <w:ind w:left="-113"/>
      <w:jc w:val="left"/>
    </w:pPr>
    <w:rPr>
      <w:color w:val="000000"/>
      <w:sz w:val="14"/>
    </w:rPr>
  </w:style>
  <w:style w:type="paragraph" w:customStyle="1" w:styleId="Nlista">
    <w:name w:val="N_list (a)"/>
    <w:basedOn w:val="Normal"/>
    <w:rsid w:val="00E100B3"/>
    <w:pPr>
      <w:tabs>
        <w:tab w:val="num" w:pos="1440"/>
      </w:tabs>
      <w:spacing w:before="80"/>
      <w:ind w:left="720" w:right="369" w:hanging="360"/>
    </w:pPr>
  </w:style>
  <w:style w:type="paragraph" w:customStyle="1" w:styleId="Nlisti">
    <w:name w:val="N_list (i)"/>
    <w:basedOn w:val="Normal"/>
    <w:rsid w:val="00E100B3"/>
    <w:pPr>
      <w:tabs>
        <w:tab w:val="num" w:pos="2177"/>
      </w:tabs>
      <w:spacing w:before="60"/>
      <w:ind w:left="1134" w:right="511" w:hanging="397"/>
    </w:pPr>
    <w:rPr>
      <w:sz w:val="20"/>
    </w:rPr>
  </w:style>
  <w:style w:type="paragraph" w:customStyle="1" w:styleId="Nlisti0">
    <w:name w:val="N_list i"/>
    <w:rsid w:val="00E100B3"/>
    <w:pPr>
      <w:tabs>
        <w:tab w:val="num" w:pos="1440"/>
      </w:tabs>
      <w:spacing w:before="40"/>
      <w:ind w:left="1440" w:right="516" w:hanging="360"/>
    </w:pPr>
    <w:rPr>
      <w:rFonts w:ascii="Lucida Sans Unicode" w:hAnsi="Lucida Sans Unicode"/>
      <w:noProof/>
      <w:sz w:val="16"/>
    </w:rPr>
  </w:style>
  <w:style w:type="character" w:styleId="Emphasis">
    <w:name w:val="Emphasis"/>
    <w:uiPriority w:val="20"/>
    <w:qFormat/>
    <w:rsid w:val="004612C7"/>
    <w:rPr>
      <w:i/>
      <w:iCs/>
    </w:rPr>
  </w:style>
  <w:style w:type="paragraph" w:styleId="Revision">
    <w:name w:val="Revision"/>
    <w:hidden/>
    <w:uiPriority w:val="99"/>
    <w:semiHidden/>
    <w:rsid w:val="00A202F7"/>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76792">
      <w:bodyDiv w:val="1"/>
      <w:marLeft w:val="0"/>
      <w:marRight w:val="0"/>
      <w:marTop w:val="0"/>
      <w:marBottom w:val="0"/>
      <w:divBdr>
        <w:top w:val="none" w:sz="0" w:space="0" w:color="auto"/>
        <w:left w:val="none" w:sz="0" w:space="0" w:color="auto"/>
        <w:bottom w:val="none" w:sz="0" w:space="0" w:color="auto"/>
        <w:right w:val="none" w:sz="0" w:space="0" w:color="auto"/>
      </w:divBdr>
    </w:div>
    <w:div w:id="632365653">
      <w:bodyDiv w:val="1"/>
      <w:marLeft w:val="0"/>
      <w:marRight w:val="0"/>
      <w:marTop w:val="0"/>
      <w:marBottom w:val="0"/>
      <w:divBdr>
        <w:top w:val="none" w:sz="0" w:space="0" w:color="auto"/>
        <w:left w:val="none" w:sz="0" w:space="0" w:color="auto"/>
        <w:bottom w:val="none" w:sz="0" w:space="0" w:color="auto"/>
        <w:right w:val="none" w:sz="0" w:space="0" w:color="auto"/>
      </w:divBdr>
    </w:div>
    <w:div w:id="20760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199C-2DA1-42F3-A88B-10AB66282C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8880D01-91AE-458E-B020-28CB6A2E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C0B0D5F5</Template>
  <TotalTime>1</TotalTime>
  <Pages>38</Pages>
  <Words>17398</Words>
  <Characters>89809</Characters>
  <Application>Microsoft Office Word</Application>
  <DocSecurity>4</DocSecurity>
  <Lines>748</Lines>
  <Paragraphs>213</Paragraphs>
  <ScaleCrop>false</ScaleCrop>
  <HeadingPairs>
    <vt:vector size="2" baseType="variant">
      <vt:variant>
        <vt:lpstr>Title</vt:lpstr>
      </vt:variant>
      <vt:variant>
        <vt:i4>1</vt:i4>
      </vt:variant>
    </vt:vector>
  </HeadingPairs>
  <TitlesOfParts>
    <vt:vector size="1" baseType="lpstr">
      <vt:lpstr/>
    </vt:vector>
  </TitlesOfParts>
  <Company>The Planning Inspectorate</Company>
  <LinksUpToDate>false</LinksUpToDate>
  <CharactersWithSpaces>106994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tyson_a1</dc:creator>
  <cp:lastModifiedBy>Alison Bellars</cp:lastModifiedBy>
  <cp:revision>2</cp:revision>
  <cp:lastPrinted>2016-08-19T13:32:00Z</cp:lastPrinted>
  <dcterms:created xsi:type="dcterms:W3CDTF">2016-08-26T12:20:00Z</dcterms:created>
  <dcterms:modified xsi:type="dcterms:W3CDTF">2016-08-26T12:20:00Z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f374dbcd-4aa7-49b0-b58e-facf3d5b3631</vt:lpwstr>
  </property>
  <property fmtid="{D5CDD505-2E9C-101B-9397-08002B2CF9AE}" pid="3" name="bjSaver">
    <vt:lpwstr>NNbizcD6XGtYjKzS8hph7dmaCGiMlZSv</vt:lpwstr>
  </property>
  <property fmtid="{D5CDD505-2E9C-101B-9397-08002B2CF9AE}" pid="4" name="bjDocumentSecurityLabel">
    <vt:lpwstr>No Marking</vt:lpwstr>
  </property>
</Properties>
</file>